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02C71" w14:textId="20D5920E" w:rsidR="007864B7" w:rsidRDefault="007864B7" w:rsidP="007864B7">
      <w:pPr>
        <w:spacing w:before="0" w:after="0"/>
        <w:ind w:firstLine="0"/>
        <w:jc w:val="center"/>
        <w:rPr>
          <w:b/>
          <w:sz w:val="32"/>
          <w:szCs w:val="32"/>
          <w:lang w:val="es-MX"/>
        </w:rPr>
      </w:pPr>
      <w:r>
        <w:rPr>
          <w:b/>
          <w:sz w:val="32"/>
          <w:szCs w:val="32"/>
          <w:lang w:val="es-MX"/>
        </w:rPr>
        <w:t>N</w:t>
      </w:r>
      <w:r w:rsidR="00597B95" w:rsidRPr="00B829BF">
        <w:rPr>
          <w:b/>
          <w:sz w:val="32"/>
          <w:szCs w:val="32"/>
          <w:lang w:val="es-MX"/>
        </w:rPr>
        <w:t xml:space="preserve">ota </w:t>
      </w:r>
      <w:r>
        <w:rPr>
          <w:b/>
          <w:sz w:val="32"/>
          <w:szCs w:val="32"/>
          <w:lang w:val="es-MX"/>
        </w:rPr>
        <w:t xml:space="preserve">metodológica </w:t>
      </w:r>
      <w:r w:rsidR="00597B95" w:rsidRPr="00B829BF">
        <w:rPr>
          <w:b/>
          <w:sz w:val="32"/>
          <w:szCs w:val="32"/>
          <w:lang w:val="es-MX"/>
        </w:rPr>
        <w:t xml:space="preserve">sobre </w:t>
      </w:r>
      <w:r>
        <w:rPr>
          <w:b/>
          <w:sz w:val="32"/>
          <w:szCs w:val="32"/>
          <w:lang w:val="es-MX"/>
        </w:rPr>
        <w:t>la construcción de un</w:t>
      </w:r>
    </w:p>
    <w:p w14:paraId="31AE4CDE" w14:textId="4015D693" w:rsidR="00CD59E3" w:rsidRPr="00B829BF" w:rsidRDefault="007864B7" w:rsidP="007864B7">
      <w:pPr>
        <w:spacing w:before="0" w:after="0"/>
        <w:ind w:firstLine="0"/>
        <w:jc w:val="center"/>
        <w:rPr>
          <w:b/>
          <w:sz w:val="32"/>
          <w:szCs w:val="32"/>
          <w:lang w:val="es-MX"/>
        </w:rPr>
      </w:pPr>
      <w:r>
        <w:rPr>
          <w:b/>
          <w:sz w:val="32"/>
          <w:szCs w:val="32"/>
          <w:lang w:val="es-MX"/>
        </w:rPr>
        <w:t>índice de precios de largo plazo</w:t>
      </w:r>
      <w:r w:rsidR="00385FDB" w:rsidRPr="00B829BF">
        <w:rPr>
          <w:b/>
          <w:sz w:val="32"/>
          <w:szCs w:val="32"/>
          <w:lang w:val="es-MX"/>
        </w:rPr>
        <w:t xml:space="preserve">, </w:t>
      </w:r>
      <w:r w:rsidR="006C614C" w:rsidRPr="00B829BF">
        <w:rPr>
          <w:b/>
          <w:sz w:val="32"/>
          <w:szCs w:val="32"/>
          <w:lang w:val="es-MX"/>
        </w:rPr>
        <w:t>1886-</w:t>
      </w:r>
      <w:r w:rsidR="00B829BF" w:rsidRPr="00B829BF">
        <w:rPr>
          <w:b/>
          <w:sz w:val="32"/>
          <w:szCs w:val="32"/>
          <w:lang w:val="es-MX"/>
        </w:rPr>
        <w:t>2000</w:t>
      </w:r>
    </w:p>
    <w:p w14:paraId="06C7B399" w14:textId="77777777" w:rsidR="00405F1D" w:rsidRPr="00B829BF" w:rsidRDefault="00405F1D" w:rsidP="00D14A78">
      <w:pPr>
        <w:ind w:firstLine="0"/>
        <w:jc w:val="center"/>
        <w:rPr>
          <w:b/>
          <w:sz w:val="28"/>
          <w:szCs w:val="28"/>
          <w:lang w:val="es-MX"/>
        </w:rPr>
      </w:pPr>
      <w:r w:rsidRPr="00B829BF">
        <w:rPr>
          <w:b/>
          <w:sz w:val="28"/>
          <w:szCs w:val="28"/>
          <w:lang w:val="es-MX"/>
        </w:rPr>
        <w:t>Sergio Martín</w:t>
      </w:r>
      <w:r w:rsidRPr="00B829BF">
        <w:rPr>
          <w:rStyle w:val="Refdenotaalpie"/>
          <w:b/>
          <w:sz w:val="28"/>
          <w:szCs w:val="28"/>
          <w:lang w:val="es-MX"/>
        </w:rPr>
        <w:footnoteReference w:id="1"/>
      </w:r>
    </w:p>
    <w:p w14:paraId="527A39C4" w14:textId="77777777" w:rsidR="00DB0D4D" w:rsidRDefault="00D14A78" w:rsidP="007C1D98">
      <w:pPr>
        <w:spacing w:line="360" w:lineRule="auto"/>
        <w:ind w:firstLine="0"/>
        <w:rPr>
          <w:sz w:val="24"/>
          <w:szCs w:val="24"/>
          <w:lang w:val="es-MX"/>
        </w:rPr>
      </w:pPr>
      <w:r>
        <w:rPr>
          <w:sz w:val="24"/>
          <w:szCs w:val="24"/>
          <w:lang w:val="es-MX"/>
        </w:rPr>
        <w:tab/>
      </w:r>
    </w:p>
    <w:p w14:paraId="3641AAFB" w14:textId="3606F0BE" w:rsidR="001A1CE4" w:rsidRPr="00DB0D4D" w:rsidRDefault="00E23BCA" w:rsidP="007C1D98">
      <w:pPr>
        <w:spacing w:line="360" w:lineRule="auto"/>
        <w:ind w:firstLine="0"/>
        <w:rPr>
          <w:i/>
          <w:sz w:val="24"/>
          <w:szCs w:val="24"/>
          <w:lang w:val="es-MX"/>
        </w:rPr>
      </w:pPr>
      <w:r w:rsidRPr="00DB0D4D">
        <w:rPr>
          <w:i/>
          <w:sz w:val="24"/>
          <w:szCs w:val="24"/>
          <w:lang w:val="es-MX"/>
        </w:rPr>
        <w:t>Resumen</w:t>
      </w:r>
    </w:p>
    <w:p w14:paraId="490B5F45" w14:textId="12F4A455" w:rsidR="00E23BCA" w:rsidRDefault="007864B7" w:rsidP="00E23BCA">
      <w:pPr>
        <w:ind w:firstLine="0"/>
        <w:rPr>
          <w:sz w:val="24"/>
          <w:szCs w:val="24"/>
          <w:lang w:val="es-MX"/>
        </w:rPr>
      </w:pPr>
      <w:r>
        <w:rPr>
          <w:sz w:val="24"/>
          <w:szCs w:val="24"/>
          <w:lang w:val="es-MX"/>
        </w:rPr>
        <w:t xml:space="preserve">Se </w:t>
      </w:r>
      <w:r w:rsidR="00402586">
        <w:rPr>
          <w:sz w:val="24"/>
          <w:szCs w:val="24"/>
          <w:lang w:val="es-MX"/>
        </w:rPr>
        <w:t>presenta</w:t>
      </w:r>
      <w:r>
        <w:rPr>
          <w:sz w:val="24"/>
          <w:szCs w:val="24"/>
          <w:lang w:val="es-MX"/>
        </w:rPr>
        <w:t xml:space="preserve"> la metodología utilizada para </w:t>
      </w:r>
      <w:r w:rsidR="00BA754D">
        <w:rPr>
          <w:sz w:val="24"/>
          <w:szCs w:val="24"/>
          <w:lang w:val="es-MX"/>
        </w:rPr>
        <w:t xml:space="preserve">la construcción de la serie histórica precios de </w:t>
      </w:r>
      <w:r w:rsidR="00402586">
        <w:rPr>
          <w:sz w:val="24"/>
          <w:szCs w:val="24"/>
          <w:lang w:val="es-MX"/>
        </w:rPr>
        <w:t xml:space="preserve">largo plazo de </w:t>
      </w:r>
      <w:r w:rsidR="00BA754D">
        <w:rPr>
          <w:sz w:val="24"/>
          <w:szCs w:val="24"/>
          <w:lang w:val="es-MX"/>
        </w:rPr>
        <w:t xml:space="preserve">1886 a 2000 con base al encadenamiento de diversas series de precios existentes. </w:t>
      </w:r>
      <w:r>
        <w:rPr>
          <w:sz w:val="24"/>
          <w:szCs w:val="24"/>
          <w:lang w:val="es-MX"/>
        </w:rPr>
        <w:t>Se anexa archivo de Excel con las observaciones mensuales y anuales.</w:t>
      </w:r>
    </w:p>
    <w:p w14:paraId="34E1B962" w14:textId="41013111" w:rsidR="00DB0D4D" w:rsidRPr="00402586" w:rsidRDefault="00DB0D4D" w:rsidP="00E23BCA">
      <w:pPr>
        <w:ind w:firstLine="0"/>
        <w:rPr>
          <w:i/>
          <w:sz w:val="24"/>
          <w:szCs w:val="24"/>
        </w:rPr>
      </w:pPr>
      <w:r w:rsidRPr="00402586">
        <w:rPr>
          <w:i/>
          <w:sz w:val="24"/>
          <w:szCs w:val="24"/>
        </w:rPr>
        <w:t>Abstract</w:t>
      </w:r>
    </w:p>
    <w:p w14:paraId="601A39FC" w14:textId="07EBD757" w:rsidR="0006667A" w:rsidRDefault="007864B7" w:rsidP="00E23BCA">
      <w:pPr>
        <w:ind w:firstLine="0"/>
        <w:rPr>
          <w:sz w:val="24"/>
          <w:szCs w:val="24"/>
        </w:rPr>
      </w:pPr>
      <w:r>
        <w:rPr>
          <w:sz w:val="24"/>
          <w:szCs w:val="24"/>
        </w:rPr>
        <w:t xml:space="preserve">The methodology used for the construction of the </w:t>
      </w:r>
      <w:r w:rsidR="00402586">
        <w:rPr>
          <w:sz w:val="24"/>
          <w:szCs w:val="24"/>
        </w:rPr>
        <w:t xml:space="preserve">long-term </w:t>
      </w:r>
      <w:r>
        <w:rPr>
          <w:sz w:val="24"/>
          <w:szCs w:val="24"/>
        </w:rPr>
        <w:t xml:space="preserve">historical price series from 1886 to 2000 is </w:t>
      </w:r>
      <w:r w:rsidR="00402586">
        <w:rPr>
          <w:sz w:val="24"/>
          <w:szCs w:val="24"/>
        </w:rPr>
        <w:t>presented</w:t>
      </w:r>
      <w:r>
        <w:rPr>
          <w:sz w:val="24"/>
          <w:szCs w:val="24"/>
        </w:rPr>
        <w:t xml:space="preserve"> based on the chaining of various existing price series. An Excel file with the monthly and annual observations is attached.</w:t>
      </w:r>
      <w:r w:rsidR="006C614C">
        <w:rPr>
          <w:sz w:val="24"/>
          <w:szCs w:val="24"/>
        </w:rPr>
        <w:t xml:space="preserve"> </w:t>
      </w:r>
    </w:p>
    <w:p w14:paraId="223EB26B" w14:textId="4D9F86DB" w:rsidR="0006667A" w:rsidRPr="00402586" w:rsidRDefault="0006667A" w:rsidP="0006667A">
      <w:pPr>
        <w:rPr>
          <w:i/>
          <w:sz w:val="24"/>
          <w:szCs w:val="24"/>
          <w:lang w:val="es-MX"/>
        </w:rPr>
      </w:pPr>
      <w:r w:rsidRPr="00402586">
        <w:rPr>
          <w:i/>
          <w:sz w:val="24"/>
          <w:szCs w:val="24"/>
          <w:lang w:val="es-MX"/>
        </w:rPr>
        <w:t>Introducción</w:t>
      </w:r>
    </w:p>
    <w:p w14:paraId="10493415" w14:textId="3B58008D" w:rsidR="000C3051" w:rsidRDefault="00402586" w:rsidP="001A1CE4">
      <w:pPr>
        <w:spacing w:line="360" w:lineRule="auto"/>
        <w:rPr>
          <w:sz w:val="24"/>
          <w:szCs w:val="24"/>
          <w:lang w:val="es-MX"/>
        </w:rPr>
      </w:pPr>
      <w:r>
        <w:rPr>
          <w:sz w:val="24"/>
          <w:szCs w:val="24"/>
          <w:lang w:val="es-MX"/>
        </w:rPr>
        <w:t>L</w:t>
      </w:r>
      <w:r w:rsidR="008A4D9C">
        <w:rPr>
          <w:sz w:val="24"/>
          <w:szCs w:val="24"/>
          <w:lang w:val="es-MX"/>
        </w:rPr>
        <w:t xml:space="preserve">os estudios </w:t>
      </w:r>
      <w:r w:rsidR="00212BDE">
        <w:rPr>
          <w:sz w:val="24"/>
          <w:szCs w:val="24"/>
          <w:lang w:val="es-MX"/>
        </w:rPr>
        <w:t xml:space="preserve">de historia económica </w:t>
      </w:r>
      <w:r w:rsidR="008A4D9C">
        <w:rPr>
          <w:sz w:val="24"/>
          <w:szCs w:val="24"/>
          <w:lang w:val="es-MX"/>
        </w:rPr>
        <w:t xml:space="preserve">que cubren </w:t>
      </w:r>
      <w:r>
        <w:rPr>
          <w:sz w:val="24"/>
          <w:szCs w:val="24"/>
          <w:lang w:val="es-MX"/>
        </w:rPr>
        <w:t xml:space="preserve">las dos últimas décadas del siglo XIX y en gran parte del siglo XX </w:t>
      </w:r>
      <w:r w:rsidR="008A4D9C">
        <w:rPr>
          <w:sz w:val="24"/>
          <w:szCs w:val="24"/>
          <w:lang w:val="es-MX"/>
        </w:rPr>
        <w:t>son obligados a utilizar índice</w:t>
      </w:r>
      <w:r w:rsidR="007864B7">
        <w:rPr>
          <w:sz w:val="24"/>
          <w:szCs w:val="24"/>
          <w:lang w:val="es-MX"/>
        </w:rPr>
        <w:t>s</w:t>
      </w:r>
      <w:r w:rsidR="008A4D9C">
        <w:rPr>
          <w:sz w:val="24"/>
          <w:szCs w:val="24"/>
          <w:lang w:val="es-MX"/>
        </w:rPr>
        <w:t xml:space="preserve"> precios al mayoreo </w:t>
      </w:r>
      <w:r w:rsidR="007864B7">
        <w:rPr>
          <w:sz w:val="24"/>
          <w:szCs w:val="24"/>
          <w:lang w:val="es-MX"/>
        </w:rPr>
        <w:t xml:space="preserve">o al consumidor restringidos a la capital del país </w:t>
      </w:r>
      <w:r w:rsidR="008A4D9C">
        <w:rPr>
          <w:sz w:val="24"/>
          <w:szCs w:val="24"/>
          <w:lang w:val="es-MX"/>
        </w:rPr>
        <w:t>para analizar el f</w:t>
      </w:r>
      <w:r w:rsidR="007864B7">
        <w:rPr>
          <w:sz w:val="24"/>
          <w:szCs w:val="24"/>
          <w:lang w:val="es-MX"/>
        </w:rPr>
        <w:t xml:space="preserve">enómeno inflacionario en México. </w:t>
      </w:r>
      <w:r w:rsidR="008A4D9C">
        <w:rPr>
          <w:sz w:val="24"/>
          <w:szCs w:val="24"/>
          <w:lang w:val="es-MX"/>
        </w:rPr>
        <w:t>Lo más atrás que llegan las estadísticas históricas de precios al mayoreo</w:t>
      </w:r>
      <w:r w:rsidR="00212BDE">
        <w:rPr>
          <w:sz w:val="24"/>
          <w:szCs w:val="24"/>
          <w:lang w:val="es-MX"/>
        </w:rPr>
        <w:t xml:space="preserve"> por </w:t>
      </w:r>
      <w:r w:rsidR="005B161B">
        <w:rPr>
          <w:sz w:val="24"/>
          <w:szCs w:val="24"/>
          <w:lang w:val="es-MX"/>
        </w:rPr>
        <w:t xml:space="preserve">las </w:t>
      </w:r>
      <w:r w:rsidR="00212BDE">
        <w:rPr>
          <w:sz w:val="24"/>
          <w:szCs w:val="24"/>
          <w:lang w:val="es-MX"/>
        </w:rPr>
        <w:t>autoridades estadísticas</w:t>
      </w:r>
      <w:r w:rsidR="008A4D9C">
        <w:rPr>
          <w:sz w:val="24"/>
          <w:szCs w:val="24"/>
          <w:lang w:val="es-MX"/>
        </w:rPr>
        <w:t xml:space="preserve"> es 1918 con </w:t>
      </w:r>
      <w:r w:rsidR="00212BDE">
        <w:rPr>
          <w:sz w:val="24"/>
          <w:szCs w:val="24"/>
          <w:lang w:val="es-MX"/>
        </w:rPr>
        <w:t xml:space="preserve">una </w:t>
      </w:r>
      <w:r w:rsidR="008A4D9C">
        <w:rPr>
          <w:sz w:val="24"/>
          <w:szCs w:val="24"/>
          <w:lang w:val="es-MX"/>
        </w:rPr>
        <w:t>serie de precios estimada por Bach y Reina (1943)</w:t>
      </w:r>
      <w:r w:rsidR="00212BDE">
        <w:rPr>
          <w:sz w:val="24"/>
          <w:szCs w:val="24"/>
          <w:lang w:val="es-MX"/>
        </w:rPr>
        <w:t xml:space="preserve"> de la Secretaría de Economía</w:t>
      </w:r>
      <w:r w:rsidR="008A4D9C">
        <w:rPr>
          <w:sz w:val="24"/>
          <w:szCs w:val="24"/>
          <w:lang w:val="es-MX"/>
        </w:rPr>
        <w:t>.</w:t>
      </w:r>
      <w:r w:rsidR="008A4D9C">
        <w:rPr>
          <w:rStyle w:val="Refdenotaalpie"/>
          <w:sz w:val="24"/>
          <w:szCs w:val="24"/>
          <w:lang w:val="es-MX"/>
        </w:rPr>
        <w:footnoteReference w:id="2"/>
      </w:r>
      <w:r w:rsidR="008A4D9C">
        <w:rPr>
          <w:sz w:val="24"/>
          <w:szCs w:val="24"/>
          <w:lang w:val="es-MX"/>
        </w:rPr>
        <w:t xml:space="preserve"> </w:t>
      </w:r>
      <w:r w:rsidR="00212BDE">
        <w:rPr>
          <w:sz w:val="24"/>
          <w:szCs w:val="24"/>
          <w:lang w:val="es-MX"/>
        </w:rPr>
        <w:t>Más r</w:t>
      </w:r>
      <w:r w:rsidR="00B2302B">
        <w:rPr>
          <w:sz w:val="24"/>
          <w:szCs w:val="24"/>
          <w:lang w:val="es-MX"/>
        </w:rPr>
        <w:t>ecientemente, Gómez-</w:t>
      </w:r>
      <w:proofErr w:type="spellStart"/>
      <w:r w:rsidR="00B2302B">
        <w:rPr>
          <w:sz w:val="24"/>
          <w:szCs w:val="24"/>
          <w:lang w:val="es-MX"/>
        </w:rPr>
        <w:t>Galvarriato</w:t>
      </w:r>
      <w:proofErr w:type="spellEnd"/>
      <w:r w:rsidR="00B2302B">
        <w:rPr>
          <w:sz w:val="24"/>
          <w:szCs w:val="24"/>
          <w:lang w:val="es-MX"/>
        </w:rPr>
        <w:t xml:space="preserve"> y </w:t>
      </w:r>
      <w:proofErr w:type="spellStart"/>
      <w:r w:rsidR="00B2302B">
        <w:rPr>
          <w:sz w:val="24"/>
          <w:szCs w:val="24"/>
          <w:lang w:val="es-MX"/>
        </w:rPr>
        <w:t>Mussachio</w:t>
      </w:r>
      <w:proofErr w:type="spellEnd"/>
      <w:r w:rsidR="00B2302B">
        <w:rPr>
          <w:sz w:val="24"/>
          <w:szCs w:val="24"/>
          <w:lang w:val="es-MX"/>
        </w:rPr>
        <w:t xml:space="preserve"> (2000) estimaron una serie de precios al consumidor de marzo de 1886 hasta diciembre de 1929, en la cual se omiten las observaciones </w:t>
      </w:r>
      <w:r w:rsidR="00B2302B" w:rsidRPr="00B2302B">
        <w:rPr>
          <w:sz w:val="24"/>
          <w:szCs w:val="24"/>
          <w:lang w:val="es-MX"/>
        </w:rPr>
        <w:t>de noviembre de 1913 a febrero de 1917,</w:t>
      </w:r>
      <w:r w:rsidR="008E4091">
        <w:rPr>
          <w:rStyle w:val="Refdenotaalpie"/>
          <w:sz w:val="24"/>
          <w:szCs w:val="24"/>
          <w:lang w:val="es-MX"/>
        </w:rPr>
        <w:footnoteReference w:id="3"/>
      </w:r>
      <w:r w:rsidR="00B2302B" w:rsidRPr="00B2302B">
        <w:rPr>
          <w:sz w:val="24"/>
          <w:szCs w:val="24"/>
          <w:lang w:val="es-MX"/>
        </w:rPr>
        <w:t xml:space="preserve"> lo que impide calcular los correspondientes datos anuales, promedio y fin de periodo.</w:t>
      </w:r>
      <w:r w:rsidR="00B2302B">
        <w:rPr>
          <w:sz w:val="24"/>
          <w:szCs w:val="24"/>
          <w:lang w:val="es-MX"/>
        </w:rPr>
        <w:t xml:space="preserve"> Martin (2024) realiza una estimación al utilizar como variable auxiliar el tipo de cambio de ese periodo, el cual si tiene valores conocidos. De esta manera, se tiene una serie histórica mensual y anual del Índice de precios al consumidor de 1886 a 1929 completa. </w:t>
      </w:r>
    </w:p>
    <w:p w14:paraId="4587C104" w14:textId="15526976" w:rsidR="005B161B" w:rsidRDefault="00041036" w:rsidP="001A1CE4">
      <w:pPr>
        <w:spacing w:line="360" w:lineRule="auto"/>
        <w:rPr>
          <w:sz w:val="24"/>
          <w:szCs w:val="24"/>
          <w:lang w:val="es-MX"/>
        </w:rPr>
      </w:pPr>
      <w:r>
        <w:rPr>
          <w:sz w:val="24"/>
          <w:szCs w:val="24"/>
          <w:lang w:val="es-MX"/>
        </w:rPr>
        <w:t>L</w:t>
      </w:r>
      <w:r w:rsidR="00B2302B">
        <w:rPr>
          <w:sz w:val="24"/>
          <w:szCs w:val="24"/>
          <w:lang w:val="es-MX"/>
        </w:rPr>
        <w:t>a series histórica</w:t>
      </w:r>
      <w:r>
        <w:rPr>
          <w:sz w:val="24"/>
          <w:szCs w:val="24"/>
          <w:lang w:val="es-MX"/>
        </w:rPr>
        <w:t xml:space="preserve"> de precios al</w:t>
      </w:r>
      <w:r w:rsidR="00B2302B">
        <w:rPr>
          <w:sz w:val="24"/>
          <w:szCs w:val="24"/>
          <w:lang w:val="es-MX"/>
        </w:rPr>
        <w:t xml:space="preserve"> mayoreo</w:t>
      </w:r>
      <w:r w:rsidR="00071218">
        <w:rPr>
          <w:rStyle w:val="Refdenotaalpie"/>
          <w:sz w:val="24"/>
          <w:szCs w:val="24"/>
          <w:lang w:val="es-MX"/>
        </w:rPr>
        <w:footnoteReference w:id="4"/>
      </w:r>
      <w:r w:rsidR="00B2302B">
        <w:rPr>
          <w:sz w:val="24"/>
          <w:szCs w:val="24"/>
          <w:lang w:val="es-MX"/>
        </w:rPr>
        <w:t xml:space="preserve"> </w:t>
      </w:r>
      <w:r>
        <w:rPr>
          <w:sz w:val="24"/>
          <w:szCs w:val="24"/>
          <w:lang w:val="es-MX"/>
        </w:rPr>
        <w:t xml:space="preserve">que produjo el Banco de México de 1932 en adelante </w:t>
      </w:r>
      <w:r w:rsidR="00B2302B">
        <w:rPr>
          <w:sz w:val="24"/>
          <w:szCs w:val="24"/>
          <w:lang w:val="es-MX"/>
        </w:rPr>
        <w:t>inici</w:t>
      </w:r>
      <w:r>
        <w:rPr>
          <w:sz w:val="24"/>
          <w:szCs w:val="24"/>
          <w:lang w:val="es-MX"/>
        </w:rPr>
        <w:t>ó</w:t>
      </w:r>
      <w:r w:rsidR="00B2302B">
        <w:rPr>
          <w:sz w:val="24"/>
          <w:szCs w:val="24"/>
          <w:lang w:val="es-MX"/>
        </w:rPr>
        <w:t xml:space="preserve"> con un número bajo de </w:t>
      </w:r>
      <w:r>
        <w:rPr>
          <w:sz w:val="24"/>
          <w:szCs w:val="24"/>
          <w:lang w:val="es-MX"/>
        </w:rPr>
        <w:t xml:space="preserve">registros de </w:t>
      </w:r>
      <w:r w:rsidR="00B2302B">
        <w:rPr>
          <w:sz w:val="24"/>
          <w:szCs w:val="24"/>
          <w:lang w:val="es-MX"/>
        </w:rPr>
        <w:t>precios de bienes y servicios</w:t>
      </w:r>
      <w:r>
        <w:rPr>
          <w:sz w:val="24"/>
          <w:szCs w:val="24"/>
          <w:lang w:val="es-MX"/>
        </w:rPr>
        <w:t xml:space="preserve">, el cual fue </w:t>
      </w:r>
      <w:r>
        <w:rPr>
          <w:sz w:val="24"/>
          <w:szCs w:val="24"/>
          <w:lang w:val="es-MX"/>
        </w:rPr>
        <w:lastRenderedPageBreak/>
        <w:t xml:space="preserve">aumentando con el tiempo. Este proceso gradual le dio cada vez más confiablidad al índice. En los años cuarenta Bach y Reina (1943) y el propio Banco de México realizaron el esfuerzo de revisar </w:t>
      </w:r>
      <w:r w:rsidR="008E4091">
        <w:rPr>
          <w:sz w:val="24"/>
          <w:szCs w:val="24"/>
          <w:lang w:val="es-MX"/>
        </w:rPr>
        <w:t xml:space="preserve">sus </w:t>
      </w:r>
      <w:r>
        <w:rPr>
          <w:sz w:val="24"/>
          <w:szCs w:val="24"/>
          <w:lang w:val="es-MX"/>
        </w:rPr>
        <w:t>metodol</w:t>
      </w:r>
      <w:r w:rsidR="008E4091">
        <w:rPr>
          <w:sz w:val="24"/>
          <w:szCs w:val="24"/>
          <w:lang w:val="es-MX"/>
        </w:rPr>
        <w:t>ogías y mejorar la calidad de la</w:t>
      </w:r>
      <w:r>
        <w:rPr>
          <w:sz w:val="24"/>
          <w:szCs w:val="24"/>
          <w:lang w:val="es-MX"/>
        </w:rPr>
        <w:t>s estadísticas. El Banco de México revisó sus estimaciones a partir de 1940 y Bach y Reina (1943), como comentamos, echaron hacia atrás la serie hasta 1918.</w:t>
      </w:r>
      <w:r w:rsidR="007864B7">
        <w:rPr>
          <w:sz w:val="24"/>
          <w:szCs w:val="24"/>
          <w:lang w:val="es-MX"/>
        </w:rPr>
        <w:t xml:space="preserve"> Hacia adelante, Banco de México (Informe Anual, varios años) presentó estadísticas de precios con revisiones </w:t>
      </w:r>
      <w:r w:rsidR="00C84010">
        <w:rPr>
          <w:sz w:val="24"/>
          <w:szCs w:val="24"/>
          <w:lang w:val="es-MX"/>
        </w:rPr>
        <w:t>cada cierto tiempo del</w:t>
      </w:r>
      <w:r w:rsidR="007864B7">
        <w:rPr>
          <w:sz w:val="24"/>
          <w:szCs w:val="24"/>
          <w:lang w:val="es-MX"/>
        </w:rPr>
        <w:t xml:space="preserve"> número de artículos a considerar y ciudades</w:t>
      </w:r>
      <w:r w:rsidR="00C84010">
        <w:rPr>
          <w:sz w:val="24"/>
          <w:szCs w:val="24"/>
          <w:lang w:val="es-MX"/>
        </w:rPr>
        <w:t xml:space="preserve"> encuestadas. De esta última fuente utilizamos sus estadísticas de 1932 al año 2000.</w:t>
      </w:r>
    </w:p>
    <w:p w14:paraId="094E5259" w14:textId="66B2075F" w:rsidR="00C84010" w:rsidRPr="00C84010" w:rsidRDefault="00C84010" w:rsidP="001A1CE4">
      <w:pPr>
        <w:spacing w:line="360" w:lineRule="auto"/>
        <w:rPr>
          <w:i/>
          <w:sz w:val="24"/>
          <w:szCs w:val="24"/>
          <w:lang w:val="es-MX"/>
        </w:rPr>
      </w:pPr>
      <w:r w:rsidRPr="00C84010">
        <w:rPr>
          <w:i/>
          <w:sz w:val="24"/>
          <w:szCs w:val="24"/>
          <w:lang w:val="es-MX"/>
        </w:rPr>
        <w:t>¿Precios mayoreo o precios consumidor?</w:t>
      </w:r>
    </w:p>
    <w:p w14:paraId="7AF5362C" w14:textId="15CFAEA3" w:rsidR="00C34ED4" w:rsidRDefault="00041036" w:rsidP="001A1CE4">
      <w:pPr>
        <w:spacing w:line="360" w:lineRule="auto"/>
        <w:rPr>
          <w:sz w:val="24"/>
          <w:szCs w:val="24"/>
          <w:lang w:val="es-MX"/>
        </w:rPr>
      </w:pPr>
      <w:r>
        <w:rPr>
          <w:sz w:val="24"/>
          <w:szCs w:val="24"/>
          <w:lang w:val="es-MX"/>
        </w:rPr>
        <w:t>La posición implícita</w:t>
      </w:r>
      <w:r w:rsidR="005B161B">
        <w:rPr>
          <w:sz w:val="24"/>
          <w:szCs w:val="24"/>
          <w:lang w:val="es-MX"/>
        </w:rPr>
        <w:t xml:space="preserve"> de los investigadores es </w:t>
      </w:r>
      <w:r w:rsidR="00C34ED4">
        <w:rPr>
          <w:sz w:val="24"/>
          <w:szCs w:val="24"/>
          <w:lang w:val="es-MX"/>
        </w:rPr>
        <w:t xml:space="preserve">utilizar sin distinción las series de precios consumidor y mayoreo para los fines de sus estudios bajo el </w:t>
      </w:r>
      <w:r w:rsidR="008E4091">
        <w:rPr>
          <w:sz w:val="24"/>
          <w:szCs w:val="24"/>
          <w:lang w:val="es-MX"/>
        </w:rPr>
        <w:t>supuesto</w:t>
      </w:r>
      <w:r w:rsidR="00C34ED4">
        <w:rPr>
          <w:sz w:val="24"/>
          <w:szCs w:val="24"/>
          <w:lang w:val="es-MX"/>
        </w:rPr>
        <w:t xml:space="preserve"> de que </w:t>
      </w:r>
      <w:r w:rsidR="008E4091">
        <w:rPr>
          <w:sz w:val="24"/>
          <w:szCs w:val="24"/>
          <w:lang w:val="es-MX"/>
        </w:rPr>
        <w:t xml:space="preserve">el índice de precios </w:t>
      </w:r>
      <w:r w:rsidR="004E156A">
        <w:rPr>
          <w:sz w:val="24"/>
          <w:szCs w:val="24"/>
          <w:lang w:val="es-MX"/>
        </w:rPr>
        <w:t xml:space="preserve">que se usa </w:t>
      </w:r>
      <w:r w:rsidR="008E4091" w:rsidRPr="008E4091">
        <w:rPr>
          <w:sz w:val="24"/>
          <w:szCs w:val="24"/>
          <w:lang w:val="es-MX"/>
        </w:rPr>
        <w:t>es una variable auxiliar</w:t>
      </w:r>
      <w:r w:rsidR="004E156A">
        <w:rPr>
          <w:sz w:val="24"/>
          <w:szCs w:val="24"/>
          <w:lang w:val="es-MX"/>
        </w:rPr>
        <w:t xml:space="preserve">. En otras palabras, </w:t>
      </w:r>
      <w:r w:rsidR="00C34ED4">
        <w:rPr>
          <w:sz w:val="24"/>
          <w:szCs w:val="24"/>
          <w:lang w:val="es-MX"/>
        </w:rPr>
        <w:t xml:space="preserve">una serie de precios de un tipo </w:t>
      </w:r>
      <w:r w:rsidR="005B161B">
        <w:rPr>
          <w:sz w:val="24"/>
          <w:szCs w:val="24"/>
          <w:lang w:val="es-MX"/>
        </w:rPr>
        <w:t>o de</w:t>
      </w:r>
      <w:r w:rsidR="00C34ED4">
        <w:rPr>
          <w:sz w:val="24"/>
          <w:szCs w:val="24"/>
          <w:lang w:val="es-MX"/>
        </w:rPr>
        <w:t xml:space="preserve"> otro</w:t>
      </w:r>
      <w:r w:rsidR="004E156A">
        <w:rPr>
          <w:sz w:val="24"/>
          <w:szCs w:val="24"/>
          <w:lang w:val="es-MX"/>
        </w:rPr>
        <w:t xml:space="preserve"> no es importante </w:t>
      </w:r>
      <w:r w:rsidR="008E4091">
        <w:rPr>
          <w:sz w:val="24"/>
          <w:szCs w:val="24"/>
          <w:lang w:val="es-MX"/>
        </w:rPr>
        <w:t xml:space="preserve">cuando </w:t>
      </w:r>
      <w:r w:rsidR="00C34ED4">
        <w:rPr>
          <w:sz w:val="24"/>
          <w:szCs w:val="24"/>
          <w:lang w:val="es-MX"/>
        </w:rPr>
        <w:t xml:space="preserve">el propósito </w:t>
      </w:r>
      <w:r w:rsidR="004E156A">
        <w:rPr>
          <w:sz w:val="24"/>
          <w:szCs w:val="24"/>
          <w:lang w:val="es-MX"/>
        </w:rPr>
        <w:t>es</w:t>
      </w:r>
      <w:r w:rsidR="00C34ED4">
        <w:rPr>
          <w:sz w:val="24"/>
          <w:szCs w:val="24"/>
          <w:lang w:val="es-MX"/>
        </w:rPr>
        <w:t xml:space="preserve"> hablar de inflación</w:t>
      </w:r>
      <w:r w:rsidR="008E4091">
        <w:rPr>
          <w:sz w:val="24"/>
          <w:szCs w:val="24"/>
          <w:lang w:val="es-MX"/>
        </w:rPr>
        <w:t>.</w:t>
      </w:r>
      <w:r w:rsidR="00C34ED4">
        <w:rPr>
          <w:sz w:val="24"/>
          <w:szCs w:val="24"/>
          <w:lang w:val="es-MX"/>
        </w:rPr>
        <w:t xml:space="preserve"> </w:t>
      </w:r>
      <w:r w:rsidR="00212BDE">
        <w:rPr>
          <w:sz w:val="24"/>
          <w:szCs w:val="24"/>
          <w:lang w:val="es-MX"/>
        </w:rPr>
        <w:t xml:space="preserve">O, alternativamente, </w:t>
      </w:r>
      <w:r w:rsidR="00C84010">
        <w:rPr>
          <w:sz w:val="24"/>
          <w:szCs w:val="24"/>
          <w:lang w:val="es-MX"/>
        </w:rPr>
        <w:t>los estudiosos del tema</w:t>
      </w:r>
      <w:r w:rsidR="00212BDE">
        <w:rPr>
          <w:sz w:val="24"/>
          <w:szCs w:val="24"/>
          <w:lang w:val="es-MX"/>
        </w:rPr>
        <w:t xml:space="preserve"> supone</w:t>
      </w:r>
      <w:r w:rsidR="00C84010">
        <w:rPr>
          <w:sz w:val="24"/>
          <w:szCs w:val="24"/>
          <w:lang w:val="es-MX"/>
        </w:rPr>
        <w:t>n</w:t>
      </w:r>
      <w:r w:rsidR="00212BDE">
        <w:rPr>
          <w:sz w:val="24"/>
          <w:szCs w:val="24"/>
          <w:lang w:val="es-MX"/>
        </w:rPr>
        <w:t xml:space="preserve"> que el incremento de precios </w:t>
      </w:r>
      <w:r w:rsidR="005B161B">
        <w:rPr>
          <w:sz w:val="24"/>
          <w:szCs w:val="24"/>
          <w:lang w:val="es-MX"/>
        </w:rPr>
        <w:t xml:space="preserve">al mayoreo </w:t>
      </w:r>
      <w:r w:rsidR="00212BDE">
        <w:rPr>
          <w:sz w:val="24"/>
          <w:szCs w:val="24"/>
          <w:lang w:val="es-MX"/>
        </w:rPr>
        <w:t>se transmitió inmediatamente a los precios al consumidor</w:t>
      </w:r>
      <w:r w:rsidR="004E156A">
        <w:rPr>
          <w:sz w:val="24"/>
          <w:szCs w:val="24"/>
          <w:lang w:val="es-MX"/>
        </w:rPr>
        <w:t xml:space="preserve"> para fines prácticos</w:t>
      </w:r>
      <w:r w:rsidR="00212BDE">
        <w:rPr>
          <w:sz w:val="24"/>
          <w:szCs w:val="24"/>
          <w:lang w:val="es-MX"/>
        </w:rPr>
        <w:t xml:space="preserve">. </w:t>
      </w:r>
      <w:r w:rsidR="00C34ED4">
        <w:rPr>
          <w:sz w:val="24"/>
          <w:szCs w:val="24"/>
          <w:lang w:val="es-MX"/>
        </w:rPr>
        <w:t>En consecuencia, si este recurso de sustitución es admitido</w:t>
      </w:r>
      <w:r w:rsidR="00CE4E87">
        <w:rPr>
          <w:sz w:val="24"/>
          <w:szCs w:val="24"/>
          <w:lang w:val="es-MX"/>
        </w:rPr>
        <w:t>,</w:t>
      </w:r>
      <w:r w:rsidR="00C34ED4">
        <w:rPr>
          <w:sz w:val="24"/>
          <w:szCs w:val="24"/>
          <w:lang w:val="es-MX"/>
        </w:rPr>
        <w:t xml:space="preserve"> podemos decir que al encadenar </w:t>
      </w:r>
      <w:r w:rsidR="00212BDE">
        <w:rPr>
          <w:sz w:val="24"/>
          <w:szCs w:val="24"/>
          <w:lang w:val="es-MX"/>
        </w:rPr>
        <w:t xml:space="preserve">a través de las tasas de cambio </w:t>
      </w:r>
      <w:r w:rsidR="00C34ED4">
        <w:rPr>
          <w:sz w:val="24"/>
          <w:szCs w:val="24"/>
          <w:lang w:val="es-MX"/>
        </w:rPr>
        <w:t>las series de diversas fuentes ―Gómez-</w:t>
      </w:r>
      <w:proofErr w:type="spellStart"/>
      <w:r w:rsidR="00C34ED4">
        <w:rPr>
          <w:sz w:val="24"/>
          <w:szCs w:val="24"/>
          <w:lang w:val="es-MX"/>
        </w:rPr>
        <w:t>Galvarriatio</w:t>
      </w:r>
      <w:proofErr w:type="spellEnd"/>
      <w:r w:rsidR="00C34ED4">
        <w:rPr>
          <w:sz w:val="24"/>
          <w:szCs w:val="24"/>
          <w:lang w:val="es-MX"/>
        </w:rPr>
        <w:t xml:space="preserve"> y </w:t>
      </w:r>
      <w:proofErr w:type="spellStart"/>
      <w:r w:rsidR="00C34ED4">
        <w:rPr>
          <w:sz w:val="24"/>
          <w:szCs w:val="24"/>
          <w:lang w:val="es-MX"/>
        </w:rPr>
        <w:t>Mussachio</w:t>
      </w:r>
      <w:proofErr w:type="spellEnd"/>
      <w:r w:rsidR="00C34ED4">
        <w:rPr>
          <w:sz w:val="24"/>
          <w:szCs w:val="24"/>
          <w:lang w:val="es-MX"/>
        </w:rPr>
        <w:t xml:space="preserve"> (2000), Bach y Reina (1943) y Banco de México― </w:t>
      </w:r>
      <w:r w:rsidR="00CE4E87">
        <w:rPr>
          <w:sz w:val="24"/>
          <w:szCs w:val="24"/>
          <w:lang w:val="es-MX"/>
        </w:rPr>
        <w:t>tenemos</w:t>
      </w:r>
      <w:r w:rsidR="00C34ED4">
        <w:rPr>
          <w:sz w:val="24"/>
          <w:szCs w:val="24"/>
          <w:lang w:val="es-MX"/>
        </w:rPr>
        <w:t xml:space="preserve"> una serie de precios</w:t>
      </w:r>
      <w:r w:rsidR="00CE4E87">
        <w:rPr>
          <w:sz w:val="24"/>
          <w:szCs w:val="24"/>
          <w:lang w:val="es-MX"/>
        </w:rPr>
        <w:t xml:space="preserve"> completa</w:t>
      </w:r>
      <w:r w:rsidR="00C34ED4">
        <w:rPr>
          <w:sz w:val="24"/>
          <w:szCs w:val="24"/>
          <w:lang w:val="es-MX"/>
        </w:rPr>
        <w:t xml:space="preserve"> de 1886 a </w:t>
      </w:r>
      <w:r w:rsidR="00CE4E87">
        <w:rPr>
          <w:sz w:val="24"/>
          <w:szCs w:val="24"/>
          <w:lang w:val="es-MX"/>
        </w:rPr>
        <w:t>1969.</w:t>
      </w:r>
      <w:r w:rsidR="00CE4E87">
        <w:rPr>
          <w:rStyle w:val="Refdenotaalpie"/>
          <w:sz w:val="24"/>
          <w:szCs w:val="24"/>
          <w:lang w:val="es-MX"/>
        </w:rPr>
        <w:footnoteReference w:id="5"/>
      </w:r>
      <w:r w:rsidR="00CE4E87">
        <w:rPr>
          <w:sz w:val="24"/>
          <w:szCs w:val="24"/>
          <w:lang w:val="es-MX"/>
        </w:rPr>
        <w:t xml:space="preserve"> A partir de </w:t>
      </w:r>
      <w:r w:rsidR="004E156A">
        <w:rPr>
          <w:sz w:val="24"/>
          <w:szCs w:val="24"/>
          <w:lang w:val="es-MX"/>
        </w:rPr>
        <w:t>1970</w:t>
      </w:r>
      <w:r w:rsidR="00CE4E87">
        <w:rPr>
          <w:sz w:val="24"/>
          <w:szCs w:val="24"/>
          <w:lang w:val="es-MX"/>
        </w:rPr>
        <w:t xml:space="preserve"> podemos hacer una distinción técnica entre consumidor y mayoreo, junto con otras sofisticaciones, que muestran el avance de la construcción de series estadísticas en nuestro país</w:t>
      </w:r>
      <w:r w:rsidR="005B161B">
        <w:rPr>
          <w:sz w:val="24"/>
          <w:szCs w:val="24"/>
          <w:lang w:val="es-MX"/>
        </w:rPr>
        <w:t xml:space="preserve"> por el Banco de México </w:t>
      </w:r>
      <w:r w:rsidR="00C84010">
        <w:rPr>
          <w:sz w:val="24"/>
          <w:szCs w:val="24"/>
          <w:lang w:val="es-MX"/>
        </w:rPr>
        <w:t xml:space="preserve">primero </w:t>
      </w:r>
      <w:r w:rsidR="005B161B">
        <w:rPr>
          <w:sz w:val="24"/>
          <w:szCs w:val="24"/>
          <w:lang w:val="es-MX"/>
        </w:rPr>
        <w:t>y el INEGI</w:t>
      </w:r>
      <w:r w:rsidR="00C84010">
        <w:rPr>
          <w:sz w:val="24"/>
          <w:szCs w:val="24"/>
          <w:lang w:val="es-MX"/>
        </w:rPr>
        <w:t xml:space="preserve"> posteriormente</w:t>
      </w:r>
      <w:r w:rsidR="00CE4E87">
        <w:rPr>
          <w:sz w:val="24"/>
          <w:szCs w:val="24"/>
          <w:lang w:val="es-MX"/>
        </w:rPr>
        <w:t>.</w:t>
      </w:r>
    </w:p>
    <w:p w14:paraId="5B6B6573" w14:textId="3BAD4520" w:rsidR="004E156A" w:rsidRPr="004E156A" w:rsidRDefault="004E156A" w:rsidP="001A1CE4">
      <w:pPr>
        <w:spacing w:line="360" w:lineRule="auto"/>
        <w:rPr>
          <w:i/>
          <w:sz w:val="24"/>
          <w:szCs w:val="24"/>
          <w:lang w:val="es-MX"/>
        </w:rPr>
      </w:pPr>
      <w:r w:rsidRPr="004E156A">
        <w:rPr>
          <w:i/>
          <w:sz w:val="24"/>
          <w:szCs w:val="24"/>
          <w:lang w:val="es-MX"/>
        </w:rPr>
        <w:t>Una serie del índice precios de largo plazo, 1886-2000</w:t>
      </w:r>
    </w:p>
    <w:p w14:paraId="3E7A6079" w14:textId="01CECDC3" w:rsidR="00EE48D4" w:rsidRDefault="00CE4E87" w:rsidP="001A1CE4">
      <w:pPr>
        <w:spacing w:line="360" w:lineRule="auto"/>
        <w:rPr>
          <w:sz w:val="24"/>
          <w:szCs w:val="24"/>
          <w:lang w:val="es-MX"/>
        </w:rPr>
      </w:pPr>
      <w:r>
        <w:rPr>
          <w:sz w:val="24"/>
          <w:szCs w:val="24"/>
          <w:lang w:val="es-MX"/>
        </w:rPr>
        <w:t xml:space="preserve">En este contexto, el objetivo de esta nota es </w:t>
      </w:r>
      <w:r w:rsidR="00071218">
        <w:rPr>
          <w:sz w:val="24"/>
          <w:szCs w:val="24"/>
          <w:lang w:val="es-MX"/>
        </w:rPr>
        <w:t xml:space="preserve">ofrecer en un solo lugar </w:t>
      </w:r>
      <w:r>
        <w:rPr>
          <w:sz w:val="24"/>
          <w:szCs w:val="24"/>
          <w:lang w:val="es-MX"/>
        </w:rPr>
        <w:t>la</w:t>
      </w:r>
      <w:r w:rsidR="00483A52">
        <w:rPr>
          <w:sz w:val="24"/>
          <w:szCs w:val="24"/>
          <w:lang w:val="es-MX"/>
        </w:rPr>
        <w:t>s</w:t>
      </w:r>
      <w:r>
        <w:rPr>
          <w:sz w:val="24"/>
          <w:szCs w:val="24"/>
          <w:lang w:val="es-MX"/>
        </w:rPr>
        <w:t xml:space="preserve"> serie</w:t>
      </w:r>
      <w:r w:rsidR="00483A52">
        <w:rPr>
          <w:sz w:val="24"/>
          <w:szCs w:val="24"/>
          <w:lang w:val="es-MX"/>
        </w:rPr>
        <w:t>s</w:t>
      </w:r>
      <w:r>
        <w:rPr>
          <w:sz w:val="24"/>
          <w:szCs w:val="24"/>
          <w:lang w:val="es-MX"/>
        </w:rPr>
        <w:t xml:space="preserve"> de precios al consumidor de Gómez </w:t>
      </w:r>
      <w:proofErr w:type="spellStart"/>
      <w:r>
        <w:rPr>
          <w:sz w:val="24"/>
          <w:szCs w:val="24"/>
          <w:lang w:val="es-MX"/>
        </w:rPr>
        <w:t>Galvarriato</w:t>
      </w:r>
      <w:proofErr w:type="spellEnd"/>
      <w:r>
        <w:rPr>
          <w:sz w:val="24"/>
          <w:szCs w:val="24"/>
          <w:lang w:val="es-MX"/>
        </w:rPr>
        <w:t xml:space="preserve"> y </w:t>
      </w:r>
      <w:proofErr w:type="spellStart"/>
      <w:r>
        <w:rPr>
          <w:sz w:val="24"/>
          <w:szCs w:val="24"/>
          <w:lang w:val="es-MX"/>
        </w:rPr>
        <w:t>Mussachio</w:t>
      </w:r>
      <w:proofErr w:type="spellEnd"/>
      <w:r>
        <w:rPr>
          <w:sz w:val="24"/>
          <w:szCs w:val="24"/>
          <w:lang w:val="es-MX"/>
        </w:rPr>
        <w:t xml:space="preserve"> (200</w:t>
      </w:r>
      <w:r w:rsidR="00C84010">
        <w:rPr>
          <w:sz w:val="24"/>
          <w:szCs w:val="24"/>
          <w:lang w:val="es-MX"/>
        </w:rPr>
        <w:t xml:space="preserve">0), </w:t>
      </w:r>
      <w:r w:rsidR="00483A52">
        <w:rPr>
          <w:sz w:val="24"/>
          <w:szCs w:val="24"/>
          <w:lang w:val="es-MX"/>
        </w:rPr>
        <w:t>la de mayoreo de</w:t>
      </w:r>
      <w:r w:rsidR="00071218">
        <w:rPr>
          <w:sz w:val="24"/>
          <w:szCs w:val="24"/>
          <w:lang w:val="es-MX"/>
        </w:rPr>
        <w:t xml:space="preserve"> </w:t>
      </w:r>
      <w:r>
        <w:rPr>
          <w:sz w:val="24"/>
          <w:szCs w:val="24"/>
          <w:lang w:val="es-MX"/>
        </w:rPr>
        <w:t xml:space="preserve">Bach y Reina (1943) </w:t>
      </w:r>
      <w:r w:rsidR="00071218">
        <w:rPr>
          <w:sz w:val="24"/>
          <w:szCs w:val="24"/>
          <w:lang w:val="es-MX"/>
        </w:rPr>
        <w:t>y las</w:t>
      </w:r>
      <w:r w:rsidR="00483A52">
        <w:rPr>
          <w:sz w:val="24"/>
          <w:szCs w:val="24"/>
          <w:lang w:val="es-MX"/>
        </w:rPr>
        <w:t xml:space="preserve"> de mayoreo y consumidor </w:t>
      </w:r>
      <w:r w:rsidR="00071218">
        <w:rPr>
          <w:sz w:val="24"/>
          <w:szCs w:val="24"/>
          <w:lang w:val="es-MX"/>
        </w:rPr>
        <w:t>que ofrece el Banco de México (Informe Anual, varios años)</w:t>
      </w:r>
      <w:r w:rsidR="00483A52">
        <w:rPr>
          <w:sz w:val="24"/>
          <w:szCs w:val="24"/>
          <w:lang w:val="es-MX"/>
        </w:rPr>
        <w:t xml:space="preserve">. El periodo </w:t>
      </w:r>
      <w:r w:rsidR="004E156A">
        <w:rPr>
          <w:sz w:val="24"/>
          <w:szCs w:val="24"/>
          <w:lang w:val="es-MX"/>
        </w:rPr>
        <w:t>es</w:t>
      </w:r>
      <w:r w:rsidR="00483A52">
        <w:rPr>
          <w:sz w:val="24"/>
          <w:szCs w:val="24"/>
          <w:lang w:val="es-MX"/>
        </w:rPr>
        <w:t xml:space="preserve"> de 1886 al año 2000. </w:t>
      </w:r>
      <w:r w:rsidR="00B9193F">
        <w:rPr>
          <w:sz w:val="24"/>
          <w:szCs w:val="24"/>
          <w:lang w:val="es-MX"/>
        </w:rPr>
        <w:t>La presentación se hará a nivel mensual y anual. En</w:t>
      </w:r>
      <w:r w:rsidR="005B161B">
        <w:rPr>
          <w:sz w:val="24"/>
          <w:szCs w:val="24"/>
          <w:lang w:val="es-MX"/>
        </w:rPr>
        <w:t xml:space="preserve"> la primera categoría se calcularan a tasa mensual (con respecto al mes anterior) y a tasa anual (con respecto al mismo mes del año anterior). E</w:t>
      </w:r>
      <w:r w:rsidR="00C84010">
        <w:rPr>
          <w:sz w:val="24"/>
          <w:szCs w:val="24"/>
          <w:lang w:val="es-MX"/>
        </w:rPr>
        <w:t xml:space="preserve">n </w:t>
      </w:r>
      <w:r w:rsidR="005B161B">
        <w:rPr>
          <w:sz w:val="24"/>
          <w:szCs w:val="24"/>
          <w:lang w:val="es-MX"/>
        </w:rPr>
        <w:t>l</w:t>
      </w:r>
      <w:r w:rsidR="00C84010">
        <w:rPr>
          <w:sz w:val="24"/>
          <w:szCs w:val="24"/>
          <w:lang w:val="es-MX"/>
        </w:rPr>
        <w:t>a</w:t>
      </w:r>
      <w:r w:rsidR="005B161B">
        <w:rPr>
          <w:sz w:val="24"/>
          <w:szCs w:val="24"/>
          <w:lang w:val="es-MX"/>
        </w:rPr>
        <w:t xml:space="preserve"> segunda</w:t>
      </w:r>
      <w:r w:rsidR="00B9193F">
        <w:rPr>
          <w:sz w:val="24"/>
          <w:szCs w:val="24"/>
          <w:lang w:val="es-MX"/>
        </w:rPr>
        <w:t xml:space="preserve"> categoría distinguiremos las observaciones </w:t>
      </w:r>
      <w:r w:rsidR="00B9193F">
        <w:rPr>
          <w:sz w:val="24"/>
          <w:szCs w:val="24"/>
          <w:lang w:val="es-MX"/>
        </w:rPr>
        <w:lastRenderedPageBreak/>
        <w:t>promedio y fin de periodo.</w:t>
      </w:r>
      <w:r w:rsidR="00C84010">
        <w:rPr>
          <w:sz w:val="24"/>
          <w:szCs w:val="24"/>
          <w:lang w:val="es-MX"/>
        </w:rPr>
        <w:t xml:space="preserve"> </w:t>
      </w:r>
      <w:r w:rsidR="00483A52">
        <w:rPr>
          <w:sz w:val="24"/>
          <w:szCs w:val="24"/>
          <w:lang w:val="es-MX"/>
        </w:rPr>
        <w:t xml:space="preserve">Las series estadísticas </w:t>
      </w:r>
      <w:r w:rsidR="005B161B">
        <w:rPr>
          <w:sz w:val="24"/>
          <w:szCs w:val="24"/>
          <w:lang w:val="es-MX"/>
        </w:rPr>
        <w:t xml:space="preserve">por su extensión </w:t>
      </w:r>
      <w:r w:rsidR="00483A52">
        <w:rPr>
          <w:sz w:val="24"/>
          <w:szCs w:val="24"/>
          <w:lang w:val="es-MX"/>
        </w:rPr>
        <w:t xml:space="preserve">se presentan en un archivo de Excel. </w:t>
      </w:r>
    </w:p>
    <w:p w14:paraId="45A4D406" w14:textId="12D808A7" w:rsidR="00CE4E87" w:rsidRPr="00EE48D4" w:rsidRDefault="00EE48D4" w:rsidP="001A1CE4">
      <w:pPr>
        <w:spacing w:line="360" w:lineRule="auto"/>
        <w:rPr>
          <w:i/>
          <w:sz w:val="24"/>
          <w:szCs w:val="24"/>
          <w:lang w:val="es-MX"/>
        </w:rPr>
      </w:pPr>
      <w:r w:rsidRPr="00EE48D4">
        <w:rPr>
          <w:i/>
          <w:sz w:val="24"/>
          <w:szCs w:val="24"/>
          <w:lang w:val="es-MX"/>
        </w:rPr>
        <w:t>Metodología seguida para construir la serie de largo plazo, 1886-2000</w:t>
      </w:r>
      <w:r w:rsidR="00483A52" w:rsidRPr="00EE48D4">
        <w:rPr>
          <w:i/>
          <w:sz w:val="24"/>
          <w:szCs w:val="24"/>
          <w:lang w:val="es-MX"/>
        </w:rPr>
        <w:t xml:space="preserve"> </w:t>
      </w:r>
      <w:r w:rsidR="00CE4E87" w:rsidRPr="00EE48D4">
        <w:rPr>
          <w:i/>
          <w:sz w:val="24"/>
          <w:szCs w:val="24"/>
          <w:lang w:val="es-MX"/>
        </w:rPr>
        <w:t xml:space="preserve"> </w:t>
      </w:r>
    </w:p>
    <w:p w14:paraId="7C215740" w14:textId="2709D04C" w:rsidR="008B7E24" w:rsidRPr="00EE48D4" w:rsidRDefault="007B184A" w:rsidP="001A1CE4">
      <w:pPr>
        <w:spacing w:line="360" w:lineRule="auto"/>
        <w:rPr>
          <w:sz w:val="24"/>
          <w:szCs w:val="24"/>
          <w:lang w:val="es-MX"/>
        </w:rPr>
      </w:pPr>
      <w:r w:rsidRPr="007B184A">
        <w:rPr>
          <w:b/>
          <w:sz w:val="24"/>
          <w:szCs w:val="24"/>
          <w:lang w:val="es-MX"/>
        </w:rPr>
        <w:t>Periodo 1886-1929.</w:t>
      </w:r>
      <w:r>
        <w:rPr>
          <w:sz w:val="24"/>
          <w:szCs w:val="24"/>
          <w:lang w:val="es-MX"/>
        </w:rPr>
        <w:t xml:space="preserve"> </w:t>
      </w:r>
      <w:r w:rsidR="00EE48D4" w:rsidRPr="00EE48D4">
        <w:rPr>
          <w:sz w:val="24"/>
          <w:szCs w:val="24"/>
          <w:lang w:val="es-MX"/>
        </w:rPr>
        <w:t xml:space="preserve">Se </w:t>
      </w:r>
      <w:r>
        <w:rPr>
          <w:sz w:val="24"/>
          <w:szCs w:val="24"/>
          <w:lang w:val="es-MX"/>
        </w:rPr>
        <w:t xml:space="preserve">toman como superiores las series que proponen </w:t>
      </w:r>
      <w:r w:rsidR="00483A52" w:rsidRPr="00EE48D4">
        <w:rPr>
          <w:sz w:val="24"/>
          <w:szCs w:val="24"/>
          <w:lang w:val="es-MX"/>
        </w:rPr>
        <w:t>Gómez-</w:t>
      </w:r>
      <w:proofErr w:type="spellStart"/>
      <w:r w:rsidR="00483A52" w:rsidRPr="00EE48D4">
        <w:rPr>
          <w:sz w:val="24"/>
          <w:szCs w:val="24"/>
          <w:lang w:val="es-MX"/>
        </w:rPr>
        <w:t>Galvarriato</w:t>
      </w:r>
      <w:proofErr w:type="spellEnd"/>
      <w:r w:rsidR="00483A52" w:rsidRPr="00EE48D4">
        <w:rPr>
          <w:sz w:val="24"/>
          <w:szCs w:val="24"/>
          <w:lang w:val="es-MX"/>
        </w:rPr>
        <w:t xml:space="preserve"> y </w:t>
      </w:r>
      <w:proofErr w:type="spellStart"/>
      <w:r w:rsidR="00483A52" w:rsidRPr="00EE48D4">
        <w:rPr>
          <w:sz w:val="24"/>
          <w:szCs w:val="24"/>
          <w:lang w:val="es-MX"/>
        </w:rPr>
        <w:t>Mussachio</w:t>
      </w:r>
      <w:proofErr w:type="spellEnd"/>
      <w:r w:rsidR="00483A52" w:rsidRPr="00EE48D4">
        <w:rPr>
          <w:sz w:val="24"/>
          <w:szCs w:val="24"/>
          <w:lang w:val="es-MX"/>
        </w:rPr>
        <w:t xml:space="preserve"> (2000)</w:t>
      </w:r>
      <w:r>
        <w:rPr>
          <w:sz w:val="24"/>
          <w:szCs w:val="24"/>
          <w:lang w:val="es-MX"/>
        </w:rPr>
        <w:t xml:space="preserve"> para el periodo y se ignoran para el mismo las de </w:t>
      </w:r>
      <w:r w:rsidR="00483A52" w:rsidRPr="00EE48D4">
        <w:rPr>
          <w:sz w:val="24"/>
          <w:szCs w:val="24"/>
          <w:lang w:val="es-MX"/>
        </w:rPr>
        <w:t>Bach y Reina (1943)</w:t>
      </w:r>
      <w:r>
        <w:rPr>
          <w:sz w:val="24"/>
          <w:szCs w:val="24"/>
          <w:lang w:val="es-MX"/>
        </w:rPr>
        <w:t xml:space="preserve"> y el Colegio de México</w:t>
      </w:r>
      <w:r w:rsidR="004E156A">
        <w:rPr>
          <w:sz w:val="24"/>
          <w:szCs w:val="24"/>
          <w:lang w:val="es-MX"/>
        </w:rPr>
        <w:t xml:space="preserve"> (1960).</w:t>
      </w:r>
    </w:p>
    <w:p w14:paraId="3AA226E9" w14:textId="77777777" w:rsidR="00761196" w:rsidRDefault="00761196" w:rsidP="001A1CE4">
      <w:pPr>
        <w:spacing w:line="360" w:lineRule="auto"/>
        <w:rPr>
          <w:sz w:val="24"/>
          <w:szCs w:val="24"/>
          <w:lang w:val="es-MX"/>
        </w:rPr>
      </w:pPr>
      <w:r>
        <w:rPr>
          <w:b/>
          <w:sz w:val="24"/>
          <w:szCs w:val="24"/>
          <w:lang w:val="es-MX"/>
        </w:rPr>
        <w:t>Periodo 1930-1931</w:t>
      </w:r>
      <w:r w:rsidR="007B184A">
        <w:rPr>
          <w:sz w:val="24"/>
          <w:szCs w:val="24"/>
          <w:lang w:val="es-MX"/>
        </w:rPr>
        <w:t>. En este tramo se toman las estimaciones del índice producidas por Bach y Reina (1943) debido a que son las únicas</w:t>
      </w:r>
      <w:r w:rsidR="008F2FAF">
        <w:rPr>
          <w:sz w:val="24"/>
          <w:szCs w:val="24"/>
          <w:lang w:val="es-MX"/>
        </w:rPr>
        <w:t xml:space="preserve"> existentes</w:t>
      </w:r>
      <w:r w:rsidR="007B184A">
        <w:rPr>
          <w:sz w:val="24"/>
          <w:szCs w:val="24"/>
          <w:lang w:val="es-MX"/>
        </w:rPr>
        <w:t xml:space="preserve">. </w:t>
      </w:r>
    </w:p>
    <w:p w14:paraId="57646840" w14:textId="0407DDD9" w:rsidR="00BA754D" w:rsidRPr="00BA754D" w:rsidRDefault="00761196" w:rsidP="003D67B9">
      <w:pPr>
        <w:spacing w:line="360" w:lineRule="auto"/>
        <w:rPr>
          <w:i/>
          <w:sz w:val="24"/>
          <w:szCs w:val="24"/>
          <w:lang w:val="es-MX"/>
        </w:rPr>
      </w:pPr>
      <w:r w:rsidRPr="00761196">
        <w:rPr>
          <w:b/>
          <w:sz w:val="24"/>
          <w:szCs w:val="24"/>
          <w:lang w:val="es-MX"/>
        </w:rPr>
        <w:t>Periodo 1932-2000</w:t>
      </w:r>
      <w:r>
        <w:rPr>
          <w:sz w:val="24"/>
          <w:szCs w:val="24"/>
          <w:lang w:val="es-MX"/>
        </w:rPr>
        <w:t xml:space="preserve">. A partir de 1932 tomamos las mediciones </w:t>
      </w:r>
      <w:r w:rsidR="004E156A">
        <w:rPr>
          <w:sz w:val="24"/>
          <w:szCs w:val="24"/>
          <w:lang w:val="es-MX"/>
        </w:rPr>
        <w:t>del</w:t>
      </w:r>
      <w:r>
        <w:rPr>
          <w:sz w:val="24"/>
          <w:szCs w:val="24"/>
          <w:lang w:val="es-MX"/>
        </w:rPr>
        <w:t xml:space="preserve"> Banco de México (Informe Anual, varios años) hasta el año 2000.</w:t>
      </w:r>
      <w:r w:rsidR="004A6218">
        <w:rPr>
          <w:sz w:val="24"/>
          <w:szCs w:val="24"/>
          <w:lang w:val="es-MX"/>
        </w:rPr>
        <w:t xml:space="preserve">  </w:t>
      </w:r>
    </w:p>
    <w:p w14:paraId="7CE1BF6F" w14:textId="2D2D9C12" w:rsidR="004C5392" w:rsidRPr="006C614C" w:rsidRDefault="0097074C" w:rsidP="003D67B9">
      <w:pPr>
        <w:spacing w:line="360" w:lineRule="auto"/>
        <w:rPr>
          <w:i/>
          <w:sz w:val="24"/>
          <w:szCs w:val="24"/>
          <w:lang w:val="es-MX"/>
        </w:rPr>
      </w:pPr>
      <w:r w:rsidRPr="006C614C">
        <w:rPr>
          <w:i/>
          <w:sz w:val="24"/>
          <w:szCs w:val="24"/>
          <w:lang w:val="es-MX"/>
        </w:rPr>
        <w:t>Bibliografía</w:t>
      </w:r>
    </w:p>
    <w:p w14:paraId="3EF83C51" w14:textId="77777777" w:rsidR="00E256F9" w:rsidRDefault="00E256F9" w:rsidP="00E256F9">
      <w:pPr>
        <w:spacing w:line="360" w:lineRule="auto"/>
        <w:rPr>
          <w:sz w:val="24"/>
          <w:szCs w:val="24"/>
          <w:lang w:val="es-MX"/>
        </w:rPr>
      </w:pPr>
      <w:r w:rsidRPr="0097074C">
        <w:rPr>
          <w:sz w:val="24"/>
          <w:szCs w:val="24"/>
          <w:lang w:val="es-MX"/>
        </w:rPr>
        <w:t>Bach, Federico y Margarita Reina (1943), “El nuevo índice de precios al mayoreo en la Ciudad de México de la Secretaría la Economía Nacional”, El Trimestre Económico, julio-septiembre, pp. 1-63.</w:t>
      </w:r>
    </w:p>
    <w:p w14:paraId="101BFE66" w14:textId="75E97679" w:rsidR="00761196" w:rsidRDefault="00761196" w:rsidP="00E256F9">
      <w:pPr>
        <w:spacing w:line="360" w:lineRule="auto"/>
        <w:rPr>
          <w:sz w:val="24"/>
          <w:szCs w:val="24"/>
          <w:lang w:val="es-MX"/>
        </w:rPr>
      </w:pPr>
      <w:r>
        <w:rPr>
          <w:sz w:val="24"/>
          <w:szCs w:val="24"/>
          <w:lang w:val="es-MX"/>
        </w:rPr>
        <w:t xml:space="preserve">Banco de México (Varios años), </w:t>
      </w:r>
      <w:r w:rsidRPr="00761196">
        <w:rPr>
          <w:i/>
          <w:sz w:val="24"/>
          <w:szCs w:val="24"/>
          <w:lang w:val="es-MX"/>
        </w:rPr>
        <w:t>Informe Anual</w:t>
      </w:r>
      <w:r>
        <w:rPr>
          <w:sz w:val="24"/>
          <w:szCs w:val="24"/>
          <w:lang w:val="es-MX"/>
        </w:rPr>
        <w:t>.</w:t>
      </w:r>
    </w:p>
    <w:p w14:paraId="01707040" w14:textId="6997EDF2" w:rsidR="00761196" w:rsidRPr="004E156A" w:rsidRDefault="00761196" w:rsidP="00E256F9">
      <w:pPr>
        <w:spacing w:line="360" w:lineRule="auto"/>
        <w:rPr>
          <w:sz w:val="24"/>
          <w:szCs w:val="24"/>
          <w:lang w:val="es-MX"/>
        </w:rPr>
      </w:pPr>
      <w:r w:rsidRPr="00761196">
        <w:rPr>
          <w:sz w:val="24"/>
          <w:szCs w:val="24"/>
          <w:lang w:val="es-MX"/>
        </w:rPr>
        <w:t>El Colegi</w:t>
      </w:r>
      <w:r w:rsidR="004E156A">
        <w:rPr>
          <w:sz w:val="24"/>
          <w:szCs w:val="24"/>
          <w:lang w:val="es-MX"/>
        </w:rPr>
        <w:t>o de México (1960),</w:t>
      </w:r>
      <w:r w:rsidRPr="00761196">
        <w:rPr>
          <w:sz w:val="24"/>
          <w:szCs w:val="24"/>
          <w:lang w:val="es-MX"/>
        </w:rPr>
        <w:t xml:space="preserve"> </w:t>
      </w:r>
      <w:r w:rsidRPr="00761196">
        <w:rPr>
          <w:i/>
          <w:sz w:val="24"/>
          <w:szCs w:val="24"/>
          <w:lang w:val="es-MX"/>
        </w:rPr>
        <w:t>Estadísticas Económicas del Porfiriato, Fuerza de Trabajo y Actividad Económica por Sectores</w:t>
      </w:r>
      <w:r w:rsidR="004E156A">
        <w:rPr>
          <w:i/>
          <w:sz w:val="24"/>
          <w:szCs w:val="24"/>
          <w:lang w:val="es-MX"/>
        </w:rPr>
        <w:t xml:space="preserve">. </w:t>
      </w:r>
      <w:r w:rsidR="004E156A" w:rsidRPr="004E156A">
        <w:rPr>
          <w:sz w:val="24"/>
          <w:szCs w:val="24"/>
          <w:lang w:val="es-MX"/>
        </w:rPr>
        <w:t>El Colegio de México, México</w:t>
      </w:r>
      <w:r w:rsidRPr="004E156A">
        <w:rPr>
          <w:sz w:val="24"/>
          <w:szCs w:val="24"/>
          <w:lang w:val="es-MX"/>
        </w:rPr>
        <w:t>.</w:t>
      </w:r>
    </w:p>
    <w:p w14:paraId="14FBE94E" w14:textId="77EABB85" w:rsidR="000C3051" w:rsidRDefault="00D00B13" w:rsidP="003D67B9">
      <w:pPr>
        <w:spacing w:line="360" w:lineRule="auto"/>
        <w:rPr>
          <w:sz w:val="24"/>
          <w:szCs w:val="24"/>
          <w:lang w:val="es-MX"/>
        </w:rPr>
      </w:pPr>
      <w:r>
        <w:rPr>
          <w:sz w:val="24"/>
          <w:szCs w:val="24"/>
          <w:lang w:val="es-MX"/>
        </w:rPr>
        <w:t>Gómez-</w:t>
      </w:r>
      <w:proofErr w:type="spellStart"/>
      <w:r>
        <w:rPr>
          <w:sz w:val="24"/>
          <w:szCs w:val="24"/>
          <w:lang w:val="es-MX"/>
        </w:rPr>
        <w:t>Galvarratio</w:t>
      </w:r>
      <w:proofErr w:type="spellEnd"/>
      <w:r>
        <w:rPr>
          <w:sz w:val="24"/>
          <w:szCs w:val="24"/>
          <w:lang w:val="es-MX"/>
        </w:rPr>
        <w:t xml:space="preserve"> A. y A. </w:t>
      </w:r>
      <w:proofErr w:type="spellStart"/>
      <w:r>
        <w:rPr>
          <w:sz w:val="24"/>
          <w:szCs w:val="24"/>
          <w:lang w:val="es-MX"/>
        </w:rPr>
        <w:t>Mussachio</w:t>
      </w:r>
      <w:proofErr w:type="spellEnd"/>
      <w:r>
        <w:rPr>
          <w:sz w:val="24"/>
          <w:szCs w:val="24"/>
          <w:lang w:val="es-MX"/>
        </w:rPr>
        <w:t xml:space="preserve"> (2000), “</w:t>
      </w:r>
      <w:r w:rsidRPr="00D00B13">
        <w:rPr>
          <w:sz w:val="24"/>
          <w:szCs w:val="24"/>
          <w:lang w:val="es-MX"/>
        </w:rPr>
        <w:t>Un nuevo índice de precios para México, 1886-1929</w:t>
      </w:r>
      <w:r>
        <w:rPr>
          <w:sz w:val="24"/>
          <w:szCs w:val="24"/>
          <w:lang w:val="es-MX"/>
        </w:rPr>
        <w:t xml:space="preserve">”, </w:t>
      </w:r>
      <w:r w:rsidRPr="00D00B13">
        <w:rPr>
          <w:sz w:val="24"/>
          <w:szCs w:val="24"/>
          <w:lang w:val="es-MX"/>
        </w:rPr>
        <w:t>El Trimestre Económico, Enero-Marzo de 2000, Vol. 67, No. 265(1) (Enero-Marzo de 2000), pp. 47-91</w:t>
      </w:r>
      <w:r>
        <w:rPr>
          <w:sz w:val="24"/>
          <w:szCs w:val="24"/>
          <w:lang w:val="es-MX"/>
        </w:rPr>
        <w:t>.</w:t>
      </w:r>
      <w:r w:rsidR="00031965">
        <w:rPr>
          <w:sz w:val="24"/>
          <w:szCs w:val="24"/>
          <w:lang w:val="es-MX"/>
        </w:rPr>
        <w:t xml:space="preserve"> </w:t>
      </w:r>
    </w:p>
    <w:p w14:paraId="1872EC28" w14:textId="3DBA09AE" w:rsidR="00761196" w:rsidRDefault="00761196" w:rsidP="00E61E3E">
      <w:pPr>
        <w:spacing w:line="360" w:lineRule="auto"/>
        <w:rPr>
          <w:sz w:val="24"/>
          <w:szCs w:val="24"/>
          <w:lang w:val="es-MX"/>
        </w:rPr>
      </w:pPr>
      <w:r w:rsidRPr="00761196">
        <w:rPr>
          <w:sz w:val="24"/>
          <w:szCs w:val="24"/>
          <w:lang w:val="es-MX"/>
        </w:rPr>
        <w:t>Martín, S. (2024), “Nota sobre la estimación del Índice de Precios al Consumidor de la Ciudad d</w:t>
      </w:r>
      <w:r w:rsidR="00E61E3E">
        <w:rPr>
          <w:sz w:val="24"/>
          <w:szCs w:val="24"/>
          <w:lang w:val="es-MX"/>
        </w:rPr>
        <w:t>e México del periodo 1913-1917” (</w:t>
      </w:r>
      <w:r w:rsidRPr="00761196">
        <w:rPr>
          <w:sz w:val="24"/>
          <w:szCs w:val="24"/>
          <w:lang w:val="es-MX"/>
        </w:rPr>
        <w:t>https://archivohistoriaeconomicamexico.com/</w:t>
      </w:r>
      <w:r w:rsidR="00E61E3E">
        <w:rPr>
          <w:sz w:val="24"/>
          <w:szCs w:val="24"/>
          <w:lang w:val="es-MX"/>
        </w:rPr>
        <w:t>)</w:t>
      </w:r>
    </w:p>
    <w:p w14:paraId="0B54D40E" w14:textId="77777777" w:rsidR="006C614C" w:rsidRDefault="006C614C" w:rsidP="003D67B9">
      <w:pPr>
        <w:spacing w:line="360" w:lineRule="auto"/>
        <w:rPr>
          <w:sz w:val="24"/>
          <w:szCs w:val="24"/>
          <w:lang w:val="es-MX"/>
        </w:rPr>
      </w:pPr>
      <w:bookmarkStart w:id="0" w:name="_GoBack"/>
      <w:bookmarkEnd w:id="0"/>
    </w:p>
    <w:sectPr w:rsidR="006C61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51E0" w14:textId="77777777" w:rsidR="00E4541E" w:rsidRDefault="00E4541E" w:rsidP="00107AD1">
      <w:pPr>
        <w:spacing w:before="0" w:after="0"/>
      </w:pPr>
      <w:r>
        <w:separator/>
      </w:r>
    </w:p>
  </w:endnote>
  <w:endnote w:type="continuationSeparator" w:id="0">
    <w:p w14:paraId="3730D030" w14:textId="77777777" w:rsidR="00E4541E" w:rsidRDefault="00E4541E" w:rsidP="00107A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921716"/>
      <w:docPartObj>
        <w:docPartGallery w:val="Page Numbers (Bottom of Page)"/>
        <w:docPartUnique/>
      </w:docPartObj>
    </w:sdtPr>
    <w:sdtEndPr/>
    <w:sdtContent>
      <w:p w14:paraId="65A3D720" w14:textId="0BD800CB" w:rsidR="007B184A" w:rsidRDefault="007B184A">
        <w:pPr>
          <w:pStyle w:val="Piedepgina"/>
          <w:jc w:val="center"/>
        </w:pPr>
        <w:r>
          <w:rPr>
            <w:noProof/>
          </w:rPr>
          <mc:AlternateContent>
            <mc:Choice Requires="wps">
              <w:drawing>
                <wp:inline distT="0" distB="0" distL="0" distR="0" wp14:anchorId="70EC1434" wp14:editId="49BEA2DA">
                  <wp:extent cx="5467350" cy="45085"/>
                  <wp:effectExtent l="9525" t="9525" r="0" b="2540"/>
                  <wp:docPr id="4" name="Decisió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BE03C3" id="_x0000_t110" coordsize="21600,21600" o:spt="110" path="m10800,l,10800,10800,21600,21600,10800xe">
                  <v:stroke joinstyle="miter"/>
                  <v:path gradientshapeok="t" o:connecttype="rect" textboxrect="5400,5400,16200,16200"/>
                </v:shapetype>
                <v:shape id="Decisió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" fillcolor="black" stroked="f">
                  <v:fill r:id="rId1" o:title="" type="pattern"/>
                  <w10:anchorlock/>
                </v:shape>
              </w:pict>
            </mc:Fallback>
          </mc:AlternateContent>
        </w:r>
      </w:p>
      <w:p w14:paraId="5980CE79" w14:textId="3FC1E0C0" w:rsidR="007B184A" w:rsidRDefault="007B184A">
        <w:pPr>
          <w:pStyle w:val="Piedepgina"/>
          <w:jc w:val="center"/>
        </w:pPr>
        <w:r>
          <w:fldChar w:fldCharType="begin"/>
        </w:r>
        <w:r>
          <w:instrText>PAGE    \* MERGEFORMAT</w:instrText>
        </w:r>
        <w:r>
          <w:fldChar w:fldCharType="separate"/>
        </w:r>
        <w:r w:rsidR="00E61E3E" w:rsidRPr="00E61E3E">
          <w:rPr>
            <w:noProof/>
            <w:lang w:val="es-ES"/>
          </w:rPr>
          <w:t>1</w:t>
        </w:r>
        <w:r>
          <w:fldChar w:fldCharType="end"/>
        </w:r>
      </w:p>
    </w:sdtContent>
  </w:sdt>
  <w:p w14:paraId="2D0B6E80" w14:textId="77777777" w:rsidR="007B184A" w:rsidRDefault="007B1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B9085" w14:textId="77777777" w:rsidR="00E4541E" w:rsidRDefault="00E4541E" w:rsidP="00107AD1">
      <w:pPr>
        <w:spacing w:before="0" w:after="0"/>
      </w:pPr>
      <w:r>
        <w:separator/>
      </w:r>
    </w:p>
  </w:footnote>
  <w:footnote w:type="continuationSeparator" w:id="0">
    <w:p w14:paraId="03964B1C" w14:textId="77777777" w:rsidR="00E4541E" w:rsidRDefault="00E4541E" w:rsidP="00107AD1">
      <w:pPr>
        <w:spacing w:before="0" w:after="0"/>
      </w:pPr>
      <w:r>
        <w:continuationSeparator/>
      </w:r>
    </w:p>
  </w:footnote>
  <w:footnote w:id="1">
    <w:p w14:paraId="7B9582CF" w14:textId="32BF3B5E" w:rsidR="007B184A" w:rsidRPr="00405F1D" w:rsidRDefault="007B184A">
      <w:pPr>
        <w:pStyle w:val="Textonotapie"/>
        <w:rPr>
          <w:lang w:val="es-MX"/>
        </w:rPr>
      </w:pPr>
      <w:r>
        <w:rPr>
          <w:rStyle w:val="Refdenotaalpie"/>
        </w:rPr>
        <w:footnoteRef/>
      </w:r>
      <w:r>
        <w:rPr>
          <w:lang w:val="es-MX"/>
        </w:rPr>
        <w:t xml:space="preserve"> Editor en Jefe del Archivo de Historia Económica de México, 1933-1982.  (</w:t>
      </w:r>
      <w:proofErr w:type="spellStart"/>
      <w:r>
        <w:rPr>
          <w:lang w:val="es-MX"/>
        </w:rPr>
        <w:t>htpp</w:t>
      </w:r>
      <w:proofErr w:type="spellEnd"/>
      <w:r>
        <w:rPr>
          <w:lang w:val="es-MX"/>
        </w:rPr>
        <w:t xml:space="preserve">//archivohistoriaeconomicamexico.com). </w:t>
      </w:r>
    </w:p>
  </w:footnote>
  <w:footnote w:id="2">
    <w:p w14:paraId="603CC592" w14:textId="1A7585E7" w:rsidR="007B184A" w:rsidRPr="008A4D9C" w:rsidRDefault="007B184A">
      <w:pPr>
        <w:pStyle w:val="Textonotapie"/>
        <w:rPr>
          <w:lang w:val="es-MX"/>
        </w:rPr>
      </w:pPr>
      <w:r>
        <w:rPr>
          <w:rStyle w:val="Refdenotaalpie"/>
        </w:rPr>
        <w:footnoteRef/>
      </w:r>
      <w:r w:rsidRPr="008A4D9C">
        <w:rPr>
          <w:lang w:val="es-MX"/>
        </w:rPr>
        <w:t xml:space="preserve"> </w:t>
      </w:r>
      <w:r>
        <w:rPr>
          <w:lang w:val="es-MX"/>
        </w:rPr>
        <w:t>Serie que cubre el periodo de enero de 1918 a febrero de 1943.</w:t>
      </w:r>
    </w:p>
  </w:footnote>
  <w:footnote w:id="3">
    <w:p w14:paraId="3A1A063A" w14:textId="5003B72F" w:rsidR="008E4091" w:rsidRPr="008E4091" w:rsidRDefault="008E4091">
      <w:pPr>
        <w:pStyle w:val="Textonotapie"/>
        <w:rPr>
          <w:lang w:val="es-MX"/>
        </w:rPr>
      </w:pPr>
      <w:r>
        <w:rPr>
          <w:rStyle w:val="Refdenotaalpie"/>
        </w:rPr>
        <w:footnoteRef/>
      </w:r>
      <w:r w:rsidRPr="008E4091">
        <w:rPr>
          <w:lang w:val="es-MX"/>
        </w:rPr>
        <w:t xml:space="preserve"> </w:t>
      </w:r>
      <w:r>
        <w:rPr>
          <w:lang w:val="es-MX"/>
        </w:rPr>
        <w:t>Debido a las circunstancias de la Revolución mexicana.</w:t>
      </w:r>
    </w:p>
  </w:footnote>
  <w:footnote w:id="4">
    <w:p w14:paraId="6EF4B867" w14:textId="1B2307B2" w:rsidR="007B184A" w:rsidRPr="00071218" w:rsidRDefault="007B184A">
      <w:pPr>
        <w:pStyle w:val="Textonotapie"/>
        <w:rPr>
          <w:lang w:val="es-MX"/>
        </w:rPr>
      </w:pPr>
      <w:r>
        <w:rPr>
          <w:rStyle w:val="Refdenotaalpie"/>
        </w:rPr>
        <w:footnoteRef/>
      </w:r>
      <w:r w:rsidRPr="00071218">
        <w:rPr>
          <w:lang w:val="es-MX"/>
        </w:rPr>
        <w:t xml:space="preserve"> </w:t>
      </w:r>
      <w:r>
        <w:rPr>
          <w:lang w:val="es-MX"/>
        </w:rPr>
        <w:t xml:space="preserve">El índice precios al mayoreo es el </w:t>
      </w:r>
      <w:r w:rsidRPr="00071218">
        <w:rPr>
          <w:lang w:val="es-MX"/>
        </w:rPr>
        <w:t xml:space="preserve">costo de </w:t>
      </w:r>
      <w:r>
        <w:rPr>
          <w:lang w:val="es-MX"/>
        </w:rPr>
        <w:t xml:space="preserve">una canasta de bienes </w:t>
      </w:r>
      <w:r w:rsidRPr="00071218">
        <w:rPr>
          <w:lang w:val="es-MX"/>
        </w:rPr>
        <w:t xml:space="preserve">desde el fabricante o </w:t>
      </w:r>
      <w:r>
        <w:rPr>
          <w:lang w:val="es-MX"/>
        </w:rPr>
        <w:t>intermediarios</w:t>
      </w:r>
      <w:r w:rsidRPr="00071218">
        <w:rPr>
          <w:lang w:val="es-MX"/>
        </w:rPr>
        <w:t xml:space="preserve"> hasta </w:t>
      </w:r>
      <w:r>
        <w:rPr>
          <w:lang w:val="es-MX"/>
        </w:rPr>
        <w:t>la venta al detalle o minorista</w:t>
      </w:r>
      <w:r w:rsidRPr="00071218">
        <w:rPr>
          <w:lang w:val="es-MX"/>
        </w:rPr>
        <w:t xml:space="preserve">. </w:t>
      </w:r>
      <w:r>
        <w:rPr>
          <w:lang w:val="es-MX"/>
        </w:rPr>
        <w:t xml:space="preserve">Si bien estos </w:t>
      </w:r>
      <w:r w:rsidRPr="00071218">
        <w:rPr>
          <w:lang w:val="es-MX"/>
        </w:rPr>
        <w:t xml:space="preserve">precios son más bajos </w:t>
      </w:r>
      <w:r>
        <w:rPr>
          <w:lang w:val="es-MX"/>
        </w:rPr>
        <w:t xml:space="preserve">que los que enfrenta el consumidor en función del mayor volumen que se maneja es posible suponer que la </w:t>
      </w:r>
      <w:r w:rsidRPr="00071218">
        <w:rPr>
          <w:i/>
          <w:lang w:val="es-MX"/>
        </w:rPr>
        <w:t>variación</w:t>
      </w:r>
      <w:r>
        <w:rPr>
          <w:lang w:val="es-MX"/>
        </w:rPr>
        <w:t xml:space="preserve"> de precios al </w:t>
      </w:r>
      <w:r w:rsidRPr="00071218">
        <w:rPr>
          <w:i/>
          <w:lang w:val="es-MX"/>
        </w:rPr>
        <w:t>mayoreo</w:t>
      </w:r>
      <w:r>
        <w:rPr>
          <w:lang w:val="es-MX"/>
        </w:rPr>
        <w:t xml:space="preserve"> pueda ser similar a la del </w:t>
      </w:r>
      <w:r w:rsidRPr="00071218">
        <w:rPr>
          <w:i/>
          <w:lang w:val="es-MX"/>
        </w:rPr>
        <w:t>consumidor</w:t>
      </w:r>
      <w:r>
        <w:rPr>
          <w:i/>
          <w:lang w:val="es-MX"/>
        </w:rPr>
        <w:t xml:space="preserve">, </w:t>
      </w:r>
      <w:r w:rsidRPr="00071218">
        <w:rPr>
          <w:lang w:val="es-MX"/>
        </w:rPr>
        <w:t>aun cuando generalmente se considera que hay un rezago</w:t>
      </w:r>
      <w:r>
        <w:rPr>
          <w:lang w:val="es-MX"/>
        </w:rPr>
        <w:t xml:space="preserve"> en el ajuste por diversos motivos, entre otros, existencias de inventarios.</w:t>
      </w:r>
    </w:p>
  </w:footnote>
  <w:footnote w:id="5">
    <w:p w14:paraId="448C4735" w14:textId="4C3FC63C" w:rsidR="007B184A" w:rsidRPr="00CE4E87" w:rsidRDefault="007B184A">
      <w:pPr>
        <w:pStyle w:val="Textonotapie"/>
        <w:rPr>
          <w:lang w:val="es-MX"/>
        </w:rPr>
      </w:pPr>
      <w:r>
        <w:rPr>
          <w:rStyle w:val="Refdenotaalpie"/>
        </w:rPr>
        <w:footnoteRef/>
      </w:r>
      <w:r w:rsidRPr="00CE4E87">
        <w:rPr>
          <w:lang w:val="es-MX"/>
        </w:rPr>
        <w:t xml:space="preserve"> </w:t>
      </w:r>
      <w:r>
        <w:rPr>
          <w:lang w:val="es-MX"/>
        </w:rPr>
        <w:t>Existen otros esfuerzos en la construcción de series históricas de precios, pero creemos que estos son los más autorizados.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EC07" w14:textId="77777777" w:rsidR="007B184A" w:rsidRDefault="007B184A" w:rsidP="00C944E5">
    <w:pPr>
      <w:pStyle w:val="Encabezado"/>
      <w:tabs>
        <w:tab w:val="clear" w:pos="4680"/>
        <w:tab w:val="clear" w:pos="9360"/>
        <w:tab w:val="left" w:pos="224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2ACF"/>
    <w:multiLevelType w:val="hybridMultilevel"/>
    <w:tmpl w:val="6E401CF0"/>
    <w:lvl w:ilvl="0" w:tplc="FD8EE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25F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795B07"/>
    <w:multiLevelType w:val="hybridMultilevel"/>
    <w:tmpl w:val="A874D2D0"/>
    <w:lvl w:ilvl="0" w:tplc="3F5AED0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8E3177"/>
    <w:multiLevelType w:val="hybridMultilevel"/>
    <w:tmpl w:val="1078329A"/>
    <w:lvl w:ilvl="0" w:tplc="AC6A1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78"/>
    <w:rsid w:val="0000558C"/>
    <w:rsid w:val="00017421"/>
    <w:rsid w:val="00024E41"/>
    <w:rsid w:val="00031965"/>
    <w:rsid w:val="000337B1"/>
    <w:rsid w:val="00041036"/>
    <w:rsid w:val="000647AF"/>
    <w:rsid w:val="0006667A"/>
    <w:rsid w:val="00066EC6"/>
    <w:rsid w:val="00071218"/>
    <w:rsid w:val="00096640"/>
    <w:rsid w:val="000A3BE0"/>
    <w:rsid w:val="000B3325"/>
    <w:rsid w:val="000B776B"/>
    <w:rsid w:val="000C3051"/>
    <w:rsid w:val="000C48BB"/>
    <w:rsid w:val="000C5E34"/>
    <w:rsid w:val="000F46C9"/>
    <w:rsid w:val="00103CD5"/>
    <w:rsid w:val="00107AD1"/>
    <w:rsid w:val="00113BF7"/>
    <w:rsid w:val="00150DB8"/>
    <w:rsid w:val="00154A98"/>
    <w:rsid w:val="00156522"/>
    <w:rsid w:val="00161BFF"/>
    <w:rsid w:val="00186B01"/>
    <w:rsid w:val="00187308"/>
    <w:rsid w:val="001966E0"/>
    <w:rsid w:val="001A1CE4"/>
    <w:rsid w:val="001A1D54"/>
    <w:rsid w:val="001A730D"/>
    <w:rsid w:val="001B0F02"/>
    <w:rsid w:val="001B4D3A"/>
    <w:rsid w:val="001C5267"/>
    <w:rsid w:val="001D347B"/>
    <w:rsid w:val="001F3DED"/>
    <w:rsid w:val="002031C7"/>
    <w:rsid w:val="00212BDE"/>
    <w:rsid w:val="00236B9D"/>
    <w:rsid w:val="00240DA1"/>
    <w:rsid w:val="002706B4"/>
    <w:rsid w:val="002737E0"/>
    <w:rsid w:val="00281B38"/>
    <w:rsid w:val="002956AC"/>
    <w:rsid w:val="002B4AE1"/>
    <w:rsid w:val="002C0869"/>
    <w:rsid w:val="002C2756"/>
    <w:rsid w:val="002E2CEF"/>
    <w:rsid w:val="002E3238"/>
    <w:rsid w:val="002F7438"/>
    <w:rsid w:val="00300E9E"/>
    <w:rsid w:val="00303629"/>
    <w:rsid w:val="00330BF0"/>
    <w:rsid w:val="00333B6E"/>
    <w:rsid w:val="00353CBF"/>
    <w:rsid w:val="00356F50"/>
    <w:rsid w:val="00365B54"/>
    <w:rsid w:val="00376679"/>
    <w:rsid w:val="0037734B"/>
    <w:rsid w:val="00385FDB"/>
    <w:rsid w:val="003B4D84"/>
    <w:rsid w:val="003C1080"/>
    <w:rsid w:val="003D1AB2"/>
    <w:rsid w:val="003D3518"/>
    <w:rsid w:val="003D67B9"/>
    <w:rsid w:val="003E21B5"/>
    <w:rsid w:val="003F4D56"/>
    <w:rsid w:val="00402586"/>
    <w:rsid w:val="004035CC"/>
    <w:rsid w:val="00405F1D"/>
    <w:rsid w:val="00416021"/>
    <w:rsid w:val="00424B13"/>
    <w:rsid w:val="00426F1F"/>
    <w:rsid w:val="00440306"/>
    <w:rsid w:val="00453E5E"/>
    <w:rsid w:val="004542D4"/>
    <w:rsid w:val="00473976"/>
    <w:rsid w:val="00483A52"/>
    <w:rsid w:val="00493FDD"/>
    <w:rsid w:val="004A6218"/>
    <w:rsid w:val="004A6F21"/>
    <w:rsid w:val="004C3AB5"/>
    <w:rsid w:val="004C5392"/>
    <w:rsid w:val="004E156A"/>
    <w:rsid w:val="00511B5A"/>
    <w:rsid w:val="00512ABE"/>
    <w:rsid w:val="00560805"/>
    <w:rsid w:val="00571EE9"/>
    <w:rsid w:val="0057614F"/>
    <w:rsid w:val="00584EDE"/>
    <w:rsid w:val="00596254"/>
    <w:rsid w:val="00597B95"/>
    <w:rsid w:val="005A69AE"/>
    <w:rsid w:val="005B161B"/>
    <w:rsid w:val="005C0286"/>
    <w:rsid w:val="005C21DE"/>
    <w:rsid w:val="005C431D"/>
    <w:rsid w:val="005D005A"/>
    <w:rsid w:val="00606F5B"/>
    <w:rsid w:val="0062797C"/>
    <w:rsid w:val="00643F2E"/>
    <w:rsid w:val="006444EC"/>
    <w:rsid w:val="0066291D"/>
    <w:rsid w:val="006741AC"/>
    <w:rsid w:val="00685C34"/>
    <w:rsid w:val="00687D9D"/>
    <w:rsid w:val="00690B08"/>
    <w:rsid w:val="00695284"/>
    <w:rsid w:val="006A5668"/>
    <w:rsid w:val="006C208B"/>
    <w:rsid w:val="006C614C"/>
    <w:rsid w:val="006E19AC"/>
    <w:rsid w:val="006E1C4D"/>
    <w:rsid w:val="006F3AD7"/>
    <w:rsid w:val="00704AF3"/>
    <w:rsid w:val="00730A5A"/>
    <w:rsid w:val="00740AE4"/>
    <w:rsid w:val="007415A5"/>
    <w:rsid w:val="00746854"/>
    <w:rsid w:val="0075070B"/>
    <w:rsid w:val="00751774"/>
    <w:rsid w:val="00755874"/>
    <w:rsid w:val="00761196"/>
    <w:rsid w:val="007646E3"/>
    <w:rsid w:val="007648EA"/>
    <w:rsid w:val="0076512D"/>
    <w:rsid w:val="00775885"/>
    <w:rsid w:val="00781D5A"/>
    <w:rsid w:val="00782A0C"/>
    <w:rsid w:val="007864B7"/>
    <w:rsid w:val="007873BF"/>
    <w:rsid w:val="00791819"/>
    <w:rsid w:val="007A4AE7"/>
    <w:rsid w:val="007B184A"/>
    <w:rsid w:val="007C1D98"/>
    <w:rsid w:val="007D6CE8"/>
    <w:rsid w:val="007F7D1E"/>
    <w:rsid w:val="00810A00"/>
    <w:rsid w:val="00817A7F"/>
    <w:rsid w:val="00826AEE"/>
    <w:rsid w:val="00834533"/>
    <w:rsid w:val="00837950"/>
    <w:rsid w:val="00840F54"/>
    <w:rsid w:val="008525AA"/>
    <w:rsid w:val="0087437D"/>
    <w:rsid w:val="008828B5"/>
    <w:rsid w:val="0088614B"/>
    <w:rsid w:val="00887238"/>
    <w:rsid w:val="008916B3"/>
    <w:rsid w:val="008A4D9C"/>
    <w:rsid w:val="008A4FD9"/>
    <w:rsid w:val="008A6DB1"/>
    <w:rsid w:val="008B0FDB"/>
    <w:rsid w:val="008B6DC8"/>
    <w:rsid w:val="008B7E24"/>
    <w:rsid w:val="008C01E3"/>
    <w:rsid w:val="008D43E0"/>
    <w:rsid w:val="008D547B"/>
    <w:rsid w:val="008E4091"/>
    <w:rsid w:val="008F2364"/>
    <w:rsid w:val="008F2FAF"/>
    <w:rsid w:val="00905706"/>
    <w:rsid w:val="009065CF"/>
    <w:rsid w:val="009130B4"/>
    <w:rsid w:val="009206D8"/>
    <w:rsid w:val="00923803"/>
    <w:rsid w:val="00925BB1"/>
    <w:rsid w:val="009260CA"/>
    <w:rsid w:val="0092631C"/>
    <w:rsid w:val="00926688"/>
    <w:rsid w:val="00940446"/>
    <w:rsid w:val="00945902"/>
    <w:rsid w:val="0095145B"/>
    <w:rsid w:val="009565DA"/>
    <w:rsid w:val="00963A6B"/>
    <w:rsid w:val="00963DB4"/>
    <w:rsid w:val="00966A52"/>
    <w:rsid w:val="0097074C"/>
    <w:rsid w:val="00977387"/>
    <w:rsid w:val="0098340B"/>
    <w:rsid w:val="00983C6D"/>
    <w:rsid w:val="009B32E9"/>
    <w:rsid w:val="009C1683"/>
    <w:rsid w:val="009C1DC2"/>
    <w:rsid w:val="009C3C80"/>
    <w:rsid w:val="009C7410"/>
    <w:rsid w:val="009D33D8"/>
    <w:rsid w:val="009E1FEE"/>
    <w:rsid w:val="009E2974"/>
    <w:rsid w:val="00A111CF"/>
    <w:rsid w:val="00A333C0"/>
    <w:rsid w:val="00A35D2F"/>
    <w:rsid w:val="00A45ACF"/>
    <w:rsid w:val="00A840EA"/>
    <w:rsid w:val="00A84D27"/>
    <w:rsid w:val="00A9717C"/>
    <w:rsid w:val="00AB27BD"/>
    <w:rsid w:val="00AB54AC"/>
    <w:rsid w:val="00AC7BA5"/>
    <w:rsid w:val="00AD3B0B"/>
    <w:rsid w:val="00AF0DA4"/>
    <w:rsid w:val="00AF269B"/>
    <w:rsid w:val="00B2302B"/>
    <w:rsid w:val="00B2378C"/>
    <w:rsid w:val="00B270BB"/>
    <w:rsid w:val="00B43DB5"/>
    <w:rsid w:val="00B62B79"/>
    <w:rsid w:val="00B64DE0"/>
    <w:rsid w:val="00B65635"/>
    <w:rsid w:val="00B74FE3"/>
    <w:rsid w:val="00B76B92"/>
    <w:rsid w:val="00B829BF"/>
    <w:rsid w:val="00B84DDC"/>
    <w:rsid w:val="00B87395"/>
    <w:rsid w:val="00B9193F"/>
    <w:rsid w:val="00B920C4"/>
    <w:rsid w:val="00B94893"/>
    <w:rsid w:val="00B95B52"/>
    <w:rsid w:val="00BA251E"/>
    <w:rsid w:val="00BA635A"/>
    <w:rsid w:val="00BA754D"/>
    <w:rsid w:val="00BB31A5"/>
    <w:rsid w:val="00BB4FD1"/>
    <w:rsid w:val="00BF28D7"/>
    <w:rsid w:val="00C009CD"/>
    <w:rsid w:val="00C025E0"/>
    <w:rsid w:val="00C03D49"/>
    <w:rsid w:val="00C111C6"/>
    <w:rsid w:val="00C20F4A"/>
    <w:rsid w:val="00C34ED4"/>
    <w:rsid w:val="00C51196"/>
    <w:rsid w:val="00C53D6B"/>
    <w:rsid w:val="00C673D7"/>
    <w:rsid w:val="00C84010"/>
    <w:rsid w:val="00C944E5"/>
    <w:rsid w:val="00C9616F"/>
    <w:rsid w:val="00CA4D80"/>
    <w:rsid w:val="00CC12F2"/>
    <w:rsid w:val="00CC33B0"/>
    <w:rsid w:val="00CC45EE"/>
    <w:rsid w:val="00CD43EA"/>
    <w:rsid w:val="00CD59E3"/>
    <w:rsid w:val="00CD6322"/>
    <w:rsid w:val="00CD74F7"/>
    <w:rsid w:val="00CE2AF2"/>
    <w:rsid w:val="00CE4E87"/>
    <w:rsid w:val="00CE64A1"/>
    <w:rsid w:val="00CF02AA"/>
    <w:rsid w:val="00D00B13"/>
    <w:rsid w:val="00D0255A"/>
    <w:rsid w:val="00D02A4D"/>
    <w:rsid w:val="00D03DFC"/>
    <w:rsid w:val="00D05339"/>
    <w:rsid w:val="00D14A78"/>
    <w:rsid w:val="00D14F32"/>
    <w:rsid w:val="00D17AE6"/>
    <w:rsid w:val="00D30EED"/>
    <w:rsid w:val="00D334CF"/>
    <w:rsid w:val="00D60CF3"/>
    <w:rsid w:val="00D64779"/>
    <w:rsid w:val="00D6680A"/>
    <w:rsid w:val="00D728BA"/>
    <w:rsid w:val="00D87F99"/>
    <w:rsid w:val="00D90CC4"/>
    <w:rsid w:val="00D92894"/>
    <w:rsid w:val="00DA13D8"/>
    <w:rsid w:val="00DB0D4D"/>
    <w:rsid w:val="00DB2125"/>
    <w:rsid w:val="00DD2DC8"/>
    <w:rsid w:val="00DF6D7B"/>
    <w:rsid w:val="00DF7216"/>
    <w:rsid w:val="00DF787A"/>
    <w:rsid w:val="00E04F83"/>
    <w:rsid w:val="00E23BCA"/>
    <w:rsid w:val="00E256F9"/>
    <w:rsid w:val="00E25E05"/>
    <w:rsid w:val="00E35B2C"/>
    <w:rsid w:val="00E43940"/>
    <w:rsid w:val="00E445E7"/>
    <w:rsid w:val="00E4541E"/>
    <w:rsid w:val="00E45566"/>
    <w:rsid w:val="00E46087"/>
    <w:rsid w:val="00E50036"/>
    <w:rsid w:val="00E50673"/>
    <w:rsid w:val="00E51B01"/>
    <w:rsid w:val="00E51B95"/>
    <w:rsid w:val="00E57E11"/>
    <w:rsid w:val="00E61E3E"/>
    <w:rsid w:val="00E629E6"/>
    <w:rsid w:val="00E70773"/>
    <w:rsid w:val="00E71BDC"/>
    <w:rsid w:val="00E726EB"/>
    <w:rsid w:val="00E76F1B"/>
    <w:rsid w:val="00E82F00"/>
    <w:rsid w:val="00E921B9"/>
    <w:rsid w:val="00EA2553"/>
    <w:rsid w:val="00ED0208"/>
    <w:rsid w:val="00ED6707"/>
    <w:rsid w:val="00EE1A04"/>
    <w:rsid w:val="00EE48D4"/>
    <w:rsid w:val="00F32107"/>
    <w:rsid w:val="00F33E21"/>
    <w:rsid w:val="00F44690"/>
    <w:rsid w:val="00F73629"/>
    <w:rsid w:val="00F82C7A"/>
    <w:rsid w:val="00FA20C4"/>
    <w:rsid w:val="00FA7154"/>
    <w:rsid w:val="00FB2BD2"/>
    <w:rsid w:val="00FB566C"/>
    <w:rsid w:val="00FC625E"/>
    <w:rsid w:val="00FD44FC"/>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0FDE"/>
  <w15:chartTrackingRefBased/>
  <w15:docId w15:val="{BE601A50-3FC8-4705-A37A-31E57CB6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07AD1"/>
    <w:pPr>
      <w:spacing w:before="0" w:after="0"/>
    </w:pPr>
  </w:style>
  <w:style w:type="character" w:customStyle="1" w:styleId="TextonotapieCar">
    <w:name w:val="Texto nota pie Car"/>
    <w:basedOn w:val="Fuentedeprrafopredeter"/>
    <w:link w:val="Textonotapie"/>
    <w:uiPriority w:val="99"/>
    <w:semiHidden/>
    <w:rsid w:val="00107AD1"/>
  </w:style>
  <w:style w:type="character" w:styleId="Refdenotaalpie">
    <w:name w:val="footnote reference"/>
    <w:basedOn w:val="Fuentedeprrafopredeter"/>
    <w:uiPriority w:val="99"/>
    <w:semiHidden/>
    <w:unhideWhenUsed/>
    <w:rsid w:val="00107AD1"/>
    <w:rPr>
      <w:vertAlign w:val="superscript"/>
    </w:rPr>
  </w:style>
  <w:style w:type="paragraph" w:styleId="Prrafodelista">
    <w:name w:val="List Paragraph"/>
    <w:basedOn w:val="Normal"/>
    <w:uiPriority w:val="34"/>
    <w:qFormat/>
    <w:rsid w:val="00F73629"/>
    <w:pPr>
      <w:ind w:left="720"/>
      <w:contextualSpacing/>
    </w:pPr>
  </w:style>
  <w:style w:type="paragraph" w:styleId="Encabezado">
    <w:name w:val="header"/>
    <w:basedOn w:val="Normal"/>
    <w:link w:val="EncabezadoCar"/>
    <w:uiPriority w:val="99"/>
    <w:unhideWhenUsed/>
    <w:rsid w:val="000647AF"/>
    <w:pPr>
      <w:tabs>
        <w:tab w:val="center" w:pos="4680"/>
        <w:tab w:val="right" w:pos="9360"/>
      </w:tabs>
      <w:spacing w:before="0" w:after="0"/>
    </w:pPr>
  </w:style>
  <w:style w:type="character" w:customStyle="1" w:styleId="EncabezadoCar">
    <w:name w:val="Encabezado Car"/>
    <w:basedOn w:val="Fuentedeprrafopredeter"/>
    <w:link w:val="Encabezado"/>
    <w:uiPriority w:val="99"/>
    <w:rsid w:val="000647AF"/>
  </w:style>
  <w:style w:type="paragraph" w:styleId="Piedepgina">
    <w:name w:val="footer"/>
    <w:basedOn w:val="Normal"/>
    <w:link w:val="PiedepginaCar"/>
    <w:uiPriority w:val="99"/>
    <w:unhideWhenUsed/>
    <w:rsid w:val="000647AF"/>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0647AF"/>
  </w:style>
  <w:style w:type="character" w:styleId="Refdecomentario">
    <w:name w:val="annotation reference"/>
    <w:basedOn w:val="Fuentedeprrafopredeter"/>
    <w:uiPriority w:val="99"/>
    <w:semiHidden/>
    <w:unhideWhenUsed/>
    <w:rsid w:val="00353CBF"/>
    <w:rPr>
      <w:sz w:val="16"/>
      <w:szCs w:val="16"/>
    </w:rPr>
  </w:style>
  <w:style w:type="paragraph" w:styleId="Textocomentario">
    <w:name w:val="annotation text"/>
    <w:basedOn w:val="Normal"/>
    <w:link w:val="TextocomentarioCar"/>
    <w:uiPriority w:val="99"/>
    <w:semiHidden/>
    <w:unhideWhenUsed/>
    <w:rsid w:val="00353CBF"/>
  </w:style>
  <w:style w:type="character" w:customStyle="1" w:styleId="TextocomentarioCar">
    <w:name w:val="Texto comentario Car"/>
    <w:basedOn w:val="Fuentedeprrafopredeter"/>
    <w:link w:val="Textocomentario"/>
    <w:uiPriority w:val="99"/>
    <w:semiHidden/>
    <w:rsid w:val="00353CBF"/>
  </w:style>
  <w:style w:type="paragraph" w:styleId="Asuntodelcomentario">
    <w:name w:val="annotation subject"/>
    <w:basedOn w:val="Textocomentario"/>
    <w:next w:val="Textocomentario"/>
    <w:link w:val="AsuntodelcomentarioCar"/>
    <w:uiPriority w:val="99"/>
    <w:semiHidden/>
    <w:unhideWhenUsed/>
    <w:rsid w:val="00353CBF"/>
    <w:rPr>
      <w:b/>
      <w:bCs/>
    </w:rPr>
  </w:style>
  <w:style w:type="character" w:customStyle="1" w:styleId="AsuntodelcomentarioCar">
    <w:name w:val="Asunto del comentario Car"/>
    <w:basedOn w:val="TextocomentarioCar"/>
    <w:link w:val="Asuntodelcomentario"/>
    <w:uiPriority w:val="99"/>
    <w:semiHidden/>
    <w:rsid w:val="00353CBF"/>
    <w:rPr>
      <w:b/>
      <w:bCs/>
    </w:rPr>
  </w:style>
  <w:style w:type="character" w:styleId="Hipervnculo">
    <w:name w:val="Hyperlink"/>
    <w:basedOn w:val="Fuentedeprrafopredeter"/>
    <w:uiPriority w:val="99"/>
    <w:unhideWhenUsed/>
    <w:rsid w:val="00353CBF"/>
    <w:rPr>
      <w:color w:val="0563C1" w:themeColor="hyperlink"/>
      <w:u w:val="single"/>
    </w:rPr>
  </w:style>
  <w:style w:type="character" w:customStyle="1" w:styleId="Mencinsinresolver1">
    <w:name w:val="Mención sin resolver1"/>
    <w:basedOn w:val="Fuentedeprrafopredeter"/>
    <w:uiPriority w:val="99"/>
    <w:semiHidden/>
    <w:unhideWhenUsed/>
    <w:rsid w:val="00353CBF"/>
    <w:rPr>
      <w:color w:val="605E5C"/>
      <w:shd w:val="clear" w:color="auto" w:fill="E1DFDD"/>
    </w:rPr>
  </w:style>
  <w:style w:type="paragraph" w:styleId="Textodeglobo">
    <w:name w:val="Balloon Text"/>
    <w:basedOn w:val="Normal"/>
    <w:link w:val="TextodegloboCar"/>
    <w:uiPriority w:val="99"/>
    <w:semiHidden/>
    <w:unhideWhenUsed/>
    <w:rsid w:val="00D9289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894"/>
    <w:rPr>
      <w:rFonts w:ascii="Segoe UI" w:hAnsi="Segoe UI" w:cs="Segoe UI"/>
      <w:sz w:val="18"/>
      <w:szCs w:val="18"/>
    </w:rPr>
  </w:style>
  <w:style w:type="paragraph" w:styleId="Revisin">
    <w:name w:val="Revision"/>
    <w:hidden/>
    <w:uiPriority w:val="99"/>
    <w:semiHidden/>
    <w:rsid w:val="00840F54"/>
    <w:pPr>
      <w:spacing w:before="0"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1705">
      <w:bodyDiv w:val="1"/>
      <w:marLeft w:val="0"/>
      <w:marRight w:val="0"/>
      <w:marTop w:val="0"/>
      <w:marBottom w:val="0"/>
      <w:divBdr>
        <w:top w:val="none" w:sz="0" w:space="0" w:color="auto"/>
        <w:left w:val="none" w:sz="0" w:space="0" w:color="auto"/>
        <w:bottom w:val="none" w:sz="0" w:space="0" w:color="auto"/>
        <w:right w:val="none" w:sz="0" w:space="0" w:color="auto"/>
      </w:divBdr>
    </w:div>
    <w:div w:id="512111838">
      <w:bodyDiv w:val="1"/>
      <w:marLeft w:val="0"/>
      <w:marRight w:val="0"/>
      <w:marTop w:val="0"/>
      <w:marBottom w:val="0"/>
      <w:divBdr>
        <w:top w:val="none" w:sz="0" w:space="0" w:color="auto"/>
        <w:left w:val="none" w:sz="0" w:space="0" w:color="auto"/>
        <w:bottom w:val="none" w:sz="0" w:space="0" w:color="auto"/>
        <w:right w:val="none" w:sz="0" w:space="0" w:color="auto"/>
      </w:divBdr>
    </w:div>
    <w:div w:id="545290852">
      <w:bodyDiv w:val="1"/>
      <w:marLeft w:val="0"/>
      <w:marRight w:val="0"/>
      <w:marTop w:val="0"/>
      <w:marBottom w:val="0"/>
      <w:divBdr>
        <w:top w:val="none" w:sz="0" w:space="0" w:color="auto"/>
        <w:left w:val="none" w:sz="0" w:space="0" w:color="auto"/>
        <w:bottom w:val="none" w:sz="0" w:space="0" w:color="auto"/>
        <w:right w:val="none" w:sz="0" w:space="0" w:color="auto"/>
      </w:divBdr>
    </w:div>
    <w:div w:id="931814180">
      <w:bodyDiv w:val="1"/>
      <w:marLeft w:val="0"/>
      <w:marRight w:val="0"/>
      <w:marTop w:val="0"/>
      <w:marBottom w:val="0"/>
      <w:divBdr>
        <w:top w:val="none" w:sz="0" w:space="0" w:color="auto"/>
        <w:left w:val="none" w:sz="0" w:space="0" w:color="auto"/>
        <w:bottom w:val="none" w:sz="0" w:space="0" w:color="auto"/>
        <w:right w:val="none" w:sz="0" w:space="0" w:color="auto"/>
      </w:divBdr>
    </w:div>
    <w:div w:id="986130210">
      <w:bodyDiv w:val="1"/>
      <w:marLeft w:val="0"/>
      <w:marRight w:val="0"/>
      <w:marTop w:val="0"/>
      <w:marBottom w:val="0"/>
      <w:divBdr>
        <w:top w:val="none" w:sz="0" w:space="0" w:color="auto"/>
        <w:left w:val="none" w:sz="0" w:space="0" w:color="auto"/>
        <w:bottom w:val="none" w:sz="0" w:space="0" w:color="auto"/>
        <w:right w:val="none" w:sz="0" w:space="0" w:color="auto"/>
      </w:divBdr>
    </w:div>
    <w:div w:id="1395739182">
      <w:bodyDiv w:val="1"/>
      <w:marLeft w:val="0"/>
      <w:marRight w:val="0"/>
      <w:marTop w:val="0"/>
      <w:marBottom w:val="0"/>
      <w:divBdr>
        <w:top w:val="none" w:sz="0" w:space="0" w:color="auto"/>
        <w:left w:val="none" w:sz="0" w:space="0" w:color="auto"/>
        <w:bottom w:val="none" w:sz="0" w:space="0" w:color="auto"/>
        <w:right w:val="none" w:sz="0" w:space="0" w:color="auto"/>
      </w:divBdr>
    </w:div>
    <w:div w:id="1431584149">
      <w:bodyDiv w:val="1"/>
      <w:marLeft w:val="0"/>
      <w:marRight w:val="0"/>
      <w:marTop w:val="0"/>
      <w:marBottom w:val="0"/>
      <w:divBdr>
        <w:top w:val="none" w:sz="0" w:space="0" w:color="auto"/>
        <w:left w:val="none" w:sz="0" w:space="0" w:color="auto"/>
        <w:bottom w:val="none" w:sz="0" w:space="0" w:color="auto"/>
        <w:right w:val="none" w:sz="0" w:space="0" w:color="auto"/>
      </w:divBdr>
    </w:div>
    <w:div w:id="1965689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AEC3-BC22-4802-891F-0BC0C3B8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Pages>
  <Words>845</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11</cp:revision>
  <dcterms:created xsi:type="dcterms:W3CDTF">2024-08-30T15:25:00Z</dcterms:created>
  <dcterms:modified xsi:type="dcterms:W3CDTF">2024-09-03T11:25:00Z</dcterms:modified>
</cp:coreProperties>
</file>